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5E45" w14:textId="639581C3" w:rsidR="000E7CBB" w:rsidRPr="00A82F40" w:rsidRDefault="008B21A5" w:rsidP="000E7CBB">
      <w:pPr>
        <w:tabs>
          <w:tab w:val="left" w:pos="270"/>
          <w:tab w:val="left" w:pos="2250"/>
          <w:tab w:val="center" w:pos="5400"/>
          <w:tab w:val="left" w:pos="6300"/>
        </w:tabs>
        <w:jc w:val="center"/>
        <w:rPr>
          <w:rFonts w:ascii="Arial" w:hAnsi="Arial" w:cs="Arial"/>
          <w:b/>
          <w:sz w:val="28"/>
          <w:lang w:val="fr-CA"/>
        </w:rPr>
      </w:pPr>
      <w:bookmarkStart w:id="0" w:name="lt_pId001"/>
      <w:r w:rsidRPr="00A82F40">
        <w:rPr>
          <w:rFonts w:ascii="Arial" w:hAnsi="Arial" w:cs="Arial"/>
          <w:noProof/>
          <w:sz w:val="28"/>
          <w:szCs w:val="28"/>
          <w:lang w:val="fr-CA"/>
        </w:rPr>
        <w:drawing>
          <wp:anchor distT="0" distB="0" distL="114300" distR="114300" simplePos="0" relativeHeight="251659264" behindDoc="1" locked="0" layoutInCell="1" allowOverlap="1" wp14:anchorId="799FFA64" wp14:editId="5D3E3B76">
            <wp:simplePos x="0" y="0"/>
            <wp:positionH relativeFrom="margin">
              <wp:align>left</wp:align>
            </wp:positionH>
            <wp:positionV relativeFrom="paragraph">
              <wp:posOffset>-173347</wp:posOffset>
            </wp:positionV>
            <wp:extent cx="1155700" cy="5524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1475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4FD" w:rsidRPr="00A82F40">
        <w:rPr>
          <w:rFonts w:ascii="Arial" w:hAnsi="Arial" w:cs="Arial"/>
          <w:b/>
          <w:sz w:val="28"/>
          <w:lang w:val="fr-CA"/>
        </w:rPr>
        <w:t>ANNEXE RELATIVE AUX SERVICES</w:t>
      </w:r>
      <w:bookmarkEnd w:id="0"/>
    </w:p>
    <w:p w14:paraId="78A6273F" w14:textId="29A42C71" w:rsidR="000E7CBB" w:rsidRPr="00A82F40" w:rsidRDefault="00C973D9" w:rsidP="000E7CBB">
      <w:pPr>
        <w:tabs>
          <w:tab w:val="left" w:pos="6300"/>
        </w:tabs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bookmarkStart w:id="1" w:name="lt_pId002"/>
      <w:r w:rsidRPr="00A82F40">
        <w:rPr>
          <w:rFonts w:ascii="Arial" w:hAnsi="Arial" w:cs="Arial"/>
          <w:b/>
          <w:bCs/>
          <w:sz w:val="28"/>
          <w:szCs w:val="28"/>
          <w:lang w:val="fr-CA"/>
        </w:rPr>
        <w:t>Services d’appels entrants et sortants Max</w:t>
      </w:r>
      <w:bookmarkEnd w:id="1"/>
    </w:p>
    <w:p w14:paraId="3F169608" w14:textId="77777777" w:rsidR="006F47EA" w:rsidRPr="004679C3" w:rsidRDefault="006F47EA" w:rsidP="000E7CBB">
      <w:pPr>
        <w:tabs>
          <w:tab w:val="left" w:pos="6300"/>
        </w:tabs>
        <w:jc w:val="center"/>
        <w:rPr>
          <w:rFonts w:ascii="Arial" w:hAnsi="Arial" w:cs="Arial"/>
          <w:b/>
          <w:lang w:val="fr-CA"/>
        </w:rPr>
      </w:pPr>
    </w:p>
    <w:p w14:paraId="193CA635" w14:textId="77777777" w:rsidR="000E7CBB" w:rsidRPr="004679C3" w:rsidRDefault="000E7CBB" w:rsidP="000E7CBB">
      <w:pPr>
        <w:tabs>
          <w:tab w:val="left" w:pos="6300"/>
        </w:tabs>
        <w:jc w:val="center"/>
        <w:rPr>
          <w:rFonts w:ascii="Arial" w:hAnsi="Arial" w:cs="Arial"/>
          <w:b/>
          <w:sz w:val="20"/>
          <w:szCs w:val="18"/>
          <w:lang w:val="fr-CA"/>
        </w:rPr>
      </w:pPr>
    </w:p>
    <w:p w14:paraId="74F8ACE9" w14:textId="1F2BE25D" w:rsidR="000E7CBB" w:rsidRPr="004679C3" w:rsidRDefault="00C973D9" w:rsidP="00F752FB">
      <w:pPr>
        <w:pStyle w:val="ListParagraph"/>
        <w:tabs>
          <w:tab w:val="left" w:pos="6300"/>
        </w:tabs>
        <w:ind w:left="0"/>
        <w:jc w:val="both"/>
        <w:rPr>
          <w:rFonts w:ascii="Arial" w:hAnsi="Arial" w:cs="Arial"/>
          <w:sz w:val="19"/>
          <w:szCs w:val="19"/>
          <w:lang w:val="fr-CA"/>
        </w:rPr>
      </w:pPr>
      <w:bookmarkStart w:id="2" w:name="lt_pId003"/>
      <w:r w:rsidRPr="004679C3">
        <w:rPr>
          <w:rFonts w:ascii="Arial" w:hAnsi="Arial" w:cs="Arial"/>
          <w:sz w:val="19"/>
          <w:szCs w:val="19"/>
          <w:lang w:val="fr-CA"/>
        </w:rPr>
        <w:t>La présente annexe relative aux services d</w:t>
      </w:r>
      <w:r w:rsidR="009614FD" w:rsidRPr="004679C3">
        <w:rPr>
          <w:rFonts w:ascii="Arial" w:hAnsi="Arial" w:cs="Arial"/>
          <w:sz w:val="19"/>
          <w:szCs w:val="19"/>
          <w:lang w:val="fr-CA"/>
        </w:rPr>
        <w:t>’</w:t>
      </w:r>
      <w:r w:rsidRPr="004679C3">
        <w:rPr>
          <w:rFonts w:ascii="Arial" w:hAnsi="Arial" w:cs="Arial"/>
          <w:sz w:val="19"/>
          <w:szCs w:val="19"/>
          <w:lang w:val="fr-CA"/>
        </w:rPr>
        <w:t>appels entrants et sortants Max («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b/>
          <w:bCs/>
          <w:sz w:val="19"/>
          <w:szCs w:val="19"/>
          <w:lang w:val="fr-CA"/>
        </w:rPr>
        <w:t>annexe relative aux services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sz w:val="19"/>
          <w:szCs w:val="19"/>
          <w:lang w:val="fr-CA"/>
        </w:rPr>
        <w:t>») est régie par le contrat de fourniture principal («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b/>
          <w:bCs/>
          <w:sz w:val="19"/>
          <w:szCs w:val="19"/>
          <w:lang w:val="fr-CA"/>
        </w:rPr>
        <w:t>CFP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sz w:val="19"/>
          <w:szCs w:val="19"/>
          <w:lang w:val="fr-CA"/>
        </w:rPr>
        <w:t>») applicable, signé par</w:t>
      </w:r>
      <w:bookmarkEnd w:id="2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sdt>
        <w:sdtPr>
          <w:rPr>
            <w:rStyle w:val="Style1"/>
            <w:sz w:val="19"/>
            <w:szCs w:val="19"/>
            <w:lang w:val="fr-CA"/>
          </w:rPr>
          <w:id w:val="-1349629131"/>
          <w:placeholder>
            <w:docPart w:val="C5777500E1EE46EF91EE852B0B123BF6"/>
          </w:placeholder>
        </w:sdtPr>
        <w:sdtEndPr>
          <w:rPr>
            <w:rStyle w:val="Style1"/>
          </w:rPr>
        </w:sdtEndPr>
        <w:sdtContent>
          <w:bookmarkStart w:id="3" w:name="lt_pId004"/>
          <w:r w:rsidR="009614FD" w:rsidRPr="004679C3">
            <w:rPr>
              <w:rStyle w:val="Style1"/>
              <w:caps/>
              <w:sz w:val="19"/>
              <w:szCs w:val="19"/>
              <w:lang w:val="fr-CA"/>
            </w:rPr>
            <w:t>INSCRIRE LE NOM DU CLIENT ICI</w:t>
          </w:r>
          <w:bookmarkEnd w:id="3"/>
        </w:sdtContent>
      </w:sdt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4" w:name="lt_pId005"/>
      <w:r w:rsidR="009614FD" w:rsidRPr="004679C3">
        <w:rPr>
          <w:rFonts w:ascii="Arial" w:hAnsi="Arial" w:cs="Arial"/>
          <w:sz w:val="19"/>
          <w:szCs w:val="19"/>
          <w:lang w:val="fr-CA"/>
        </w:rPr>
        <w:t>(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le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« </w:t>
      </w:r>
      <w:r w:rsidR="00F752FB" w:rsidRPr="004679C3">
        <w:rPr>
          <w:rFonts w:ascii="Arial" w:hAnsi="Arial" w:cs="Arial"/>
          <w:b/>
          <w:sz w:val="19"/>
          <w:szCs w:val="19"/>
          <w:lang w:val="fr-CA"/>
        </w:rPr>
        <w:t>client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 ») </w:t>
      </w:r>
      <w:r w:rsidR="00F752FB" w:rsidRPr="004679C3">
        <w:rPr>
          <w:rFonts w:ascii="Arial" w:hAnsi="Arial" w:cs="Arial"/>
          <w:sz w:val="19"/>
          <w:szCs w:val="19"/>
          <w:lang w:val="fr-CA"/>
        </w:rPr>
        <w:t>et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Allstream Business Inc. o</w:t>
      </w:r>
      <w:r w:rsidR="00F752FB" w:rsidRPr="004679C3">
        <w:rPr>
          <w:rFonts w:ascii="Arial" w:hAnsi="Arial" w:cs="Arial"/>
          <w:sz w:val="19"/>
          <w:szCs w:val="19"/>
          <w:lang w:val="fr-CA"/>
        </w:rPr>
        <w:t>u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Allstream Business US, LLC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(« </w:t>
      </w:r>
      <w:r w:rsidR="009614FD" w:rsidRPr="004679C3">
        <w:rPr>
          <w:rFonts w:ascii="Arial" w:hAnsi="Arial" w:cs="Arial"/>
          <w:b/>
          <w:sz w:val="19"/>
          <w:szCs w:val="19"/>
          <w:lang w:val="fr-CA"/>
        </w:rPr>
        <w:t>Allstream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»).</w:t>
      </w:r>
      <w:bookmarkEnd w:id="4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5" w:name="lt_pId006"/>
      <w:r w:rsidR="009614FD" w:rsidRPr="004679C3">
        <w:rPr>
          <w:rFonts w:ascii="Arial" w:hAnsi="Arial" w:cs="Arial"/>
          <w:sz w:val="19"/>
          <w:szCs w:val="19"/>
          <w:lang w:val="fr-CA"/>
        </w:rPr>
        <w:t>Si le client n’a pas signé un CFP, l’annexe relative aux services est alors régie par les modalités du CFP standard d’Allstream qui est affiché sur le site www.allstream.com, intégré à la présente annexe relative aux services par renvoi.</w:t>
      </w:r>
      <w:bookmarkEnd w:id="5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6" w:name="lt_pId007"/>
      <w:r w:rsidR="009614FD" w:rsidRPr="004679C3">
        <w:rPr>
          <w:rFonts w:ascii="Arial" w:hAnsi="Arial" w:cs="Arial"/>
          <w:sz w:val="19"/>
          <w:szCs w:val="19"/>
          <w:lang w:val="fr-CA"/>
        </w:rPr>
        <w:t>Les termes en italiques non définis à la présente annexe relative aux services ont la signification qui leur est donnée dans le CFP.</w:t>
      </w:r>
      <w:bookmarkEnd w:id="6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7" w:name="lt_pId008"/>
      <w:r w:rsidR="009614FD" w:rsidRPr="004679C3">
        <w:rPr>
          <w:rFonts w:ascii="Arial" w:hAnsi="Arial" w:cs="Arial"/>
          <w:sz w:val="19"/>
          <w:szCs w:val="19"/>
          <w:lang w:val="fr-CA"/>
        </w:rPr>
        <w:t>Allstream et le client peuvent être désignés individuellement par le terme « partie » et collectivement par le terme « parties ».</w:t>
      </w:r>
      <w:bookmarkStart w:id="8" w:name="lt_pId009"/>
      <w:bookmarkEnd w:id="7"/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r w:rsidR="009614FD" w:rsidRPr="004679C3">
        <w:rPr>
          <w:rFonts w:ascii="Arial" w:eastAsia="Calibri" w:hAnsi="Arial" w:cs="Arial"/>
          <w:sz w:val="19"/>
          <w:szCs w:val="19"/>
          <w:lang w:val="fr-CA"/>
        </w:rPr>
        <w:t>La présente annexe relative aux services contient des renseignements détaillés sur la fourniture des services de communication (« </w:t>
      </w:r>
      <w:r w:rsidR="009614FD" w:rsidRPr="004679C3">
        <w:rPr>
          <w:rFonts w:ascii="Arial" w:eastAsia="Calibri" w:hAnsi="Arial" w:cs="Arial"/>
          <w:b/>
          <w:bCs/>
          <w:sz w:val="19"/>
          <w:szCs w:val="19"/>
          <w:lang w:val="fr-CA"/>
        </w:rPr>
        <w:t>services</w:t>
      </w:r>
      <w:r w:rsidR="009614FD" w:rsidRPr="004679C3">
        <w:rPr>
          <w:rFonts w:ascii="Arial" w:eastAsia="Calibri" w:hAnsi="Arial" w:cs="Arial"/>
          <w:sz w:val="19"/>
          <w:szCs w:val="19"/>
          <w:lang w:val="fr-CA"/>
        </w:rPr>
        <w:t> ») acquis par le client de temps à autre au moyen d’une demande de service approuvée par Allstream.</w:t>
      </w:r>
      <w:bookmarkEnd w:id="8"/>
    </w:p>
    <w:p w14:paraId="030E5F35" w14:textId="77777777" w:rsidR="000E7CBB" w:rsidRPr="004679C3" w:rsidRDefault="000E7CBB" w:rsidP="000E7CBB">
      <w:pPr>
        <w:tabs>
          <w:tab w:val="left" w:pos="6300"/>
        </w:tabs>
        <w:jc w:val="both"/>
        <w:rPr>
          <w:rFonts w:ascii="Arial" w:hAnsi="Arial" w:cs="Arial"/>
          <w:sz w:val="18"/>
          <w:szCs w:val="18"/>
          <w:lang w:val="fr-CA"/>
        </w:rPr>
      </w:pPr>
    </w:p>
    <w:p w14:paraId="31D647B3" w14:textId="77777777" w:rsidR="003436F4" w:rsidRPr="004679C3" w:rsidRDefault="003436F4">
      <w:pPr>
        <w:rPr>
          <w:rFonts w:ascii="Arial" w:hAnsi="Arial" w:cs="Arial"/>
          <w:b/>
          <w:bCs/>
          <w:sz w:val="19"/>
          <w:szCs w:val="19"/>
          <w:u w:val="single"/>
          <w:lang w:val="fr-CA"/>
        </w:rPr>
      </w:pPr>
    </w:p>
    <w:p w14:paraId="57CC5DA7" w14:textId="77777777" w:rsidR="00731D03" w:rsidRPr="004679C3" w:rsidRDefault="00731D03" w:rsidP="006F47EA">
      <w:pPr>
        <w:jc w:val="both"/>
        <w:rPr>
          <w:rFonts w:ascii="Arial" w:hAnsi="Arial" w:cs="Arial"/>
          <w:b/>
          <w:bCs/>
          <w:sz w:val="19"/>
          <w:szCs w:val="19"/>
          <w:u w:val="single"/>
          <w:lang w:val="fr-CA"/>
        </w:rPr>
      </w:pPr>
    </w:p>
    <w:p w14:paraId="45995A21" w14:textId="67EADC73" w:rsidR="009D7A43" w:rsidRPr="004679C3" w:rsidRDefault="00F752FB" w:rsidP="006F47E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sz w:val="19"/>
          <w:szCs w:val="19"/>
          <w:u w:val="single"/>
          <w:lang w:val="fr-CA"/>
        </w:rPr>
      </w:pPr>
      <w:bookmarkStart w:id="9" w:name="lt_pId010"/>
      <w:r w:rsidRPr="004679C3">
        <w:rPr>
          <w:rFonts w:ascii="Arial" w:hAnsi="Arial" w:cs="Arial"/>
          <w:b/>
          <w:bCs/>
          <w:sz w:val="19"/>
          <w:szCs w:val="19"/>
          <w:u w:val="single"/>
          <w:lang w:val="fr-CA"/>
        </w:rPr>
        <w:t>Appels sortants</w:t>
      </w:r>
      <w:bookmarkEnd w:id="9"/>
    </w:p>
    <w:p w14:paraId="26A74E8E" w14:textId="5D50DE31" w:rsidR="005540C7" w:rsidRPr="004679C3" w:rsidRDefault="005540C7" w:rsidP="006F47EA">
      <w:pPr>
        <w:jc w:val="both"/>
        <w:rPr>
          <w:rFonts w:ascii="Arial" w:hAnsi="Arial" w:cs="Arial"/>
          <w:sz w:val="19"/>
          <w:szCs w:val="19"/>
          <w:lang w:val="fr-CA"/>
        </w:rPr>
      </w:pPr>
    </w:p>
    <w:p w14:paraId="0268E069" w14:textId="15517D7C" w:rsidR="005540C7" w:rsidRPr="004679C3" w:rsidRDefault="00CD458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10" w:name="lt_pId011"/>
      <w:r w:rsidRPr="004679C3">
        <w:rPr>
          <w:rFonts w:ascii="Arial" w:hAnsi="Arial" w:cs="Arial"/>
          <w:sz w:val="19"/>
          <w:szCs w:val="19"/>
          <w:lang w:val="fr-CA"/>
        </w:rPr>
        <w:t xml:space="preserve">Allstream 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sera le fournisseur exclusif des appels sortants pour la gamme de produits </w:t>
      </w:r>
      <w:r w:rsidRPr="004679C3">
        <w:rPr>
          <w:rFonts w:ascii="Arial" w:hAnsi="Arial" w:cs="Arial"/>
          <w:sz w:val="19"/>
          <w:szCs w:val="19"/>
          <w:lang w:val="fr-CA"/>
        </w:rPr>
        <w:t>Max</w:t>
      </w:r>
      <w:r w:rsidR="00F752FB" w:rsidRPr="004679C3">
        <w:rPr>
          <w:rFonts w:ascii="Arial" w:hAnsi="Arial" w:cs="Arial"/>
          <w:sz w:val="19"/>
          <w:szCs w:val="19"/>
          <w:lang w:val="fr-CA"/>
        </w:rPr>
        <w:t>.</w:t>
      </w:r>
      <w:bookmarkEnd w:id="10"/>
      <w:r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CDC6BF8" w14:textId="14DF80AC" w:rsidR="006229B5" w:rsidRPr="004679C3" w:rsidRDefault="006229B5" w:rsidP="006F47EA">
      <w:pPr>
        <w:jc w:val="both"/>
        <w:rPr>
          <w:rFonts w:ascii="Arial" w:hAnsi="Arial" w:cs="Arial"/>
          <w:sz w:val="19"/>
          <w:szCs w:val="19"/>
          <w:lang w:val="fr-CA"/>
        </w:rPr>
      </w:pPr>
    </w:p>
    <w:p w14:paraId="5AAB8BE4" w14:textId="6182A1B1" w:rsidR="00784AC5" w:rsidRPr="004679C3" w:rsidRDefault="00F752FB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11" w:name="lt_pId012"/>
      <w:r w:rsidRPr="004679C3">
        <w:rPr>
          <w:rFonts w:ascii="Arial" w:hAnsi="Arial" w:cs="Arial"/>
          <w:sz w:val="19"/>
          <w:szCs w:val="19"/>
          <w:lang w:val="fr-CA"/>
        </w:rPr>
        <w:t>Les clients souscrivant aux services de communications unifiées Max et aux services de lignes d’affaires SIP Max</w:t>
      </w:r>
      <w:r w:rsidR="009D0B17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proofErr w:type="gramStart"/>
      <w:r w:rsidRPr="004679C3">
        <w:rPr>
          <w:rFonts w:ascii="Arial" w:hAnsi="Arial" w:cs="Arial"/>
          <w:sz w:val="19"/>
          <w:szCs w:val="19"/>
          <w:lang w:val="fr-CA"/>
        </w:rPr>
        <w:t>devraient</w:t>
      </w:r>
      <w:proofErr w:type="gramEnd"/>
      <w:r w:rsidRPr="004679C3">
        <w:rPr>
          <w:rFonts w:ascii="Arial" w:hAnsi="Arial" w:cs="Arial"/>
          <w:sz w:val="19"/>
          <w:szCs w:val="19"/>
          <w:lang w:val="fr-CA"/>
        </w:rPr>
        <w:t xml:space="preserve"> être des détaillants ou des entreprises standards dont les volumes d’appels et le trafic lié aux conversations correspondent à ceux d’un utilisateur d’affaires moyen</w:t>
      </w:r>
      <w:r w:rsidR="000A2E79" w:rsidRPr="004679C3">
        <w:rPr>
          <w:rFonts w:ascii="Arial" w:hAnsi="Arial" w:cs="Arial"/>
          <w:sz w:val="19"/>
          <w:szCs w:val="19"/>
          <w:lang w:val="fr-CA"/>
        </w:rPr>
        <w:t>.</w:t>
      </w:r>
      <w:bookmarkEnd w:id="11"/>
      <w:r w:rsidR="000A2E79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2" w:name="lt_pId013"/>
      <w:r w:rsidRPr="004679C3">
        <w:rPr>
          <w:rFonts w:ascii="Arial" w:hAnsi="Arial" w:cs="Arial"/>
          <w:sz w:val="19"/>
          <w:szCs w:val="19"/>
          <w:lang w:val="fr-CA"/>
        </w:rPr>
        <w:t xml:space="preserve">Ces services ne conviennent pas aux clients qui utilisent des applications de voix générant un fort trafic, comme les serveurs de télécopie ou les composeurs automatiques. Reportez-vous à la section Utilisation acceptable ci-dessous pour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prendre connaissance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d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es </w:t>
      </w:r>
      <w:r w:rsidR="009D0B17" w:rsidRPr="004679C3">
        <w:rPr>
          <w:rFonts w:ascii="Arial" w:hAnsi="Arial" w:cs="Arial"/>
          <w:sz w:val="19"/>
          <w:szCs w:val="19"/>
          <w:lang w:val="fr-CA"/>
        </w:rPr>
        <w:t xml:space="preserve">autres </w:t>
      </w:r>
      <w:r w:rsidRPr="004679C3">
        <w:rPr>
          <w:rFonts w:ascii="Arial" w:hAnsi="Arial" w:cs="Arial"/>
          <w:sz w:val="19"/>
          <w:szCs w:val="19"/>
          <w:lang w:val="fr-CA"/>
        </w:rPr>
        <w:t>limitations.</w:t>
      </w:r>
      <w:bookmarkEnd w:id="12"/>
      <w:r w:rsidR="000A2E79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610735A" w14:textId="1026088F" w:rsidR="00F239C8" w:rsidRPr="004679C3" w:rsidRDefault="00F239C8" w:rsidP="006F47EA">
      <w:pPr>
        <w:jc w:val="both"/>
        <w:rPr>
          <w:rFonts w:ascii="Arial" w:hAnsi="Arial" w:cs="Arial"/>
          <w:sz w:val="19"/>
          <w:szCs w:val="19"/>
          <w:lang w:val="fr-CA"/>
        </w:rPr>
      </w:pPr>
    </w:p>
    <w:p w14:paraId="7BAAA5A9" w14:textId="2AA31152" w:rsidR="002B290E" w:rsidRPr="004679C3" w:rsidRDefault="00F752FB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13" w:name="lt_pId015"/>
      <w:r w:rsidRPr="004679C3">
        <w:rPr>
          <w:rFonts w:ascii="Arial" w:hAnsi="Arial" w:cs="Arial"/>
          <w:sz w:val="19"/>
          <w:szCs w:val="19"/>
          <w:lang w:val="fr-CA"/>
        </w:rPr>
        <w:t xml:space="preserve">Les clients souscrivant aux services de communications unifiées Max et aux services de lignes d’affaires SIP Max </w:t>
      </w:r>
      <w:proofErr w:type="gramStart"/>
      <w:r w:rsidRPr="004679C3">
        <w:rPr>
          <w:rFonts w:ascii="Arial" w:hAnsi="Arial" w:cs="Arial"/>
          <w:sz w:val="19"/>
          <w:szCs w:val="19"/>
          <w:lang w:val="fr-CA"/>
        </w:rPr>
        <w:t>ont</w:t>
      </w:r>
      <w:proofErr w:type="gramEnd"/>
      <w:r w:rsidRPr="004679C3">
        <w:rPr>
          <w:rFonts w:ascii="Arial" w:hAnsi="Arial" w:cs="Arial"/>
          <w:sz w:val="19"/>
          <w:szCs w:val="19"/>
          <w:lang w:val="fr-CA"/>
        </w:rPr>
        <w:t xml:space="preserve"> droit à des « appels sortants illimités ».</w:t>
      </w:r>
      <w:bookmarkEnd w:id="13"/>
    </w:p>
    <w:p w14:paraId="5CA24C8A" w14:textId="77777777" w:rsidR="002B290E" w:rsidRPr="004679C3" w:rsidRDefault="002B290E" w:rsidP="006F47EA">
      <w:pPr>
        <w:pStyle w:val="ListParagraph"/>
        <w:jc w:val="both"/>
        <w:rPr>
          <w:rFonts w:ascii="Arial" w:hAnsi="Arial" w:cs="Arial"/>
          <w:sz w:val="19"/>
          <w:szCs w:val="19"/>
          <w:lang w:val="fr-CA"/>
        </w:rPr>
      </w:pPr>
    </w:p>
    <w:p w14:paraId="35520AAF" w14:textId="094A358A" w:rsidR="00DA5C0E" w:rsidRPr="004679C3" w:rsidRDefault="009D0B17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  <w:bookmarkStart w:id="14" w:name="lt_pId016"/>
      <w:r w:rsidRPr="004679C3">
        <w:rPr>
          <w:rFonts w:ascii="Arial" w:hAnsi="Arial" w:cs="Arial"/>
          <w:sz w:val="19"/>
          <w:szCs w:val="19"/>
          <w:lang w:val="fr-CA"/>
        </w:rPr>
        <w:t>Dans le cas des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 clients canadiens, le terme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« </w:t>
      </w:r>
      <w:r w:rsidR="00F752FB" w:rsidRPr="004679C3">
        <w:rPr>
          <w:rFonts w:ascii="Arial" w:hAnsi="Arial" w:cs="Arial"/>
          <w:sz w:val="19"/>
          <w:szCs w:val="19"/>
          <w:lang w:val="fr-CA"/>
        </w:rPr>
        <w:t>appels sortants illimités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»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 s’entend du trafic d’appels sortants au Canada et d’appels sortants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dans les 48 États contigus des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États-Unis</w:t>
      </w:r>
      <w:r w:rsidR="00F752FB" w:rsidRPr="004679C3">
        <w:rPr>
          <w:rFonts w:ascii="Arial" w:hAnsi="Arial" w:cs="Arial"/>
          <w:sz w:val="19"/>
          <w:szCs w:val="19"/>
          <w:lang w:val="fr-CA"/>
        </w:rPr>
        <w:t xml:space="preserve">, qui est limité à </w:t>
      </w:r>
      <w:r w:rsidR="542B0AAF" w:rsidRPr="004679C3">
        <w:rPr>
          <w:rFonts w:ascii="Arial" w:hAnsi="Arial" w:cs="Arial"/>
          <w:sz w:val="19"/>
          <w:szCs w:val="19"/>
          <w:lang w:val="fr-CA"/>
        </w:rPr>
        <w:t>2</w:t>
      </w:r>
      <w:r w:rsidR="00F752FB" w:rsidRPr="004679C3">
        <w:rPr>
          <w:rFonts w:ascii="Arial" w:hAnsi="Arial" w:cs="Arial"/>
          <w:sz w:val="19"/>
          <w:szCs w:val="19"/>
          <w:lang w:val="fr-CA"/>
        </w:rPr>
        <w:t> </w:t>
      </w:r>
      <w:r w:rsidR="542B0AAF" w:rsidRPr="004679C3">
        <w:rPr>
          <w:rFonts w:ascii="Arial" w:hAnsi="Arial" w:cs="Arial"/>
          <w:sz w:val="19"/>
          <w:szCs w:val="19"/>
          <w:lang w:val="fr-CA"/>
        </w:rPr>
        <w:t>500</w:t>
      </w:r>
      <w:r w:rsidR="00F752FB" w:rsidRPr="004679C3">
        <w:rPr>
          <w:rFonts w:ascii="Arial" w:hAnsi="Arial" w:cs="Arial"/>
          <w:sz w:val="19"/>
          <w:szCs w:val="19"/>
          <w:lang w:val="fr-CA"/>
        </w:rPr>
        <w:t> </w:t>
      </w:r>
      <w:r w:rsidR="542B0AAF" w:rsidRPr="004679C3">
        <w:rPr>
          <w:rFonts w:ascii="Arial" w:hAnsi="Arial" w:cs="Arial"/>
          <w:sz w:val="19"/>
          <w:szCs w:val="19"/>
          <w:lang w:val="fr-CA"/>
        </w:rPr>
        <w:t xml:space="preserve">minutes </w:t>
      </w:r>
      <w:r w:rsidR="00F752FB" w:rsidRPr="004679C3">
        <w:rPr>
          <w:rFonts w:ascii="Arial" w:hAnsi="Arial" w:cs="Arial"/>
          <w:sz w:val="19"/>
          <w:szCs w:val="19"/>
          <w:lang w:val="fr-CA"/>
        </w:rPr>
        <w:t>par poste CU Max ou par ligne d’affaires SIP Max</w:t>
      </w:r>
      <w:r w:rsidR="542B0AAF" w:rsidRPr="004679C3">
        <w:rPr>
          <w:rFonts w:ascii="Arial" w:hAnsi="Arial" w:cs="Arial"/>
          <w:sz w:val="19"/>
          <w:szCs w:val="19"/>
          <w:lang w:val="fr-CA"/>
        </w:rPr>
        <w:t>.</w:t>
      </w:r>
      <w:bookmarkEnd w:id="14"/>
      <w:r w:rsidR="542B0AAF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5" w:name="lt_pId017"/>
      <w:r w:rsidR="00F752FB" w:rsidRPr="004679C3">
        <w:rPr>
          <w:rFonts w:ascii="Arial" w:hAnsi="Arial" w:cs="Arial"/>
          <w:sz w:val="19"/>
          <w:szCs w:val="19"/>
          <w:lang w:val="fr-CA"/>
        </w:rPr>
        <w:t>Nous facturerons toute utilisation supplémentaire à la minute aux tarifs indiqués à la section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="00F752FB" w:rsidRPr="004679C3">
        <w:rPr>
          <w:rFonts w:ascii="Arial" w:hAnsi="Arial" w:cs="Arial"/>
          <w:sz w:val="19"/>
          <w:szCs w:val="19"/>
          <w:lang w:val="fr-CA"/>
        </w:rPr>
        <w:t>1.4.</w:t>
      </w:r>
      <w:bookmarkEnd w:id="15"/>
      <w:r w:rsidR="542B0AAF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6" w:name="lt_pId018"/>
      <w:r w:rsidRPr="004679C3">
        <w:rPr>
          <w:rFonts w:ascii="Arial" w:hAnsi="Arial" w:cs="Arial"/>
          <w:sz w:val="19"/>
          <w:szCs w:val="19"/>
          <w:lang w:val="fr-CA"/>
        </w:rPr>
        <w:t>De plus</w:t>
      </w:r>
      <w:r w:rsidR="542B0AAF" w:rsidRPr="004679C3">
        <w:rPr>
          <w:rFonts w:ascii="Arial" w:hAnsi="Arial" w:cs="Arial"/>
          <w:sz w:val="19"/>
          <w:szCs w:val="19"/>
          <w:lang w:val="fr-CA"/>
        </w:rPr>
        <w:t xml:space="preserve">, </w:t>
      </w:r>
      <w:r w:rsidRPr="004679C3">
        <w:rPr>
          <w:rFonts w:ascii="Arial" w:hAnsi="Arial" w:cs="Arial"/>
          <w:sz w:val="19"/>
          <w:szCs w:val="19"/>
          <w:lang w:val="fr-CA"/>
        </w:rPr>
        <w:t>les services incluent des appels illimités entre les principales régions métropolitaines du Canada.</w:t>
      </w:r>
      <w:bookmarkEnd w:id="16"/>
    </w:p>
    <w:p w14:paraId="5D259DD9" w14:textId="77777777" w:rsidR="0030507B" w:rsidRPr="004679C3" w:rsidRDefault="0030507B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45A4803F" w14:textId="78778B46" w:rsidR="00806E4D" w:rsidRDefault="009D0B17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  <w:bookmarkStart w:id="17" w:name="lt_pId019"/>
      <w:r w:rsidRPr="004679C3">
        <w:rPr>
          <w:rFonts w:ascii="Arial" w:hAnsi="Arial" w:cs="Arial"/>
          <w:sz w:val="19"/>
          <w:szCs w:val="19"/>
          <w:lang w:val="fr-CA"/>
        </w:rPr>
        <w:t xml:space="preserve">Dans le cas des clients américains, le terme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« </w:t>
      </w:r>
      <w:r w:rsidRPr="004679C3">
        <w:rPr>
          <w:rFonts w:ascii="Arial" w:hAnsi="Arial" w:cs="Arial"/>
          <w:sz w:val="19"/>
          <w:szCs w:val="19"/>
          <w:lang w:val="fr-CA"/>
        </w:rPr>
        <w:t>appels sortants illimités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»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s’entend du trafic d’appels sortants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dans les 48 États contigus des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États-Unis</w:t>
      </w:r>
      <w:r w:rsidR="00F26F6E">
        <w:rPr>
          <w:rFonts w:ascii="Arial" w:hAnsi="Arial" w:cs="Arial"/>
          <w:sz w:val="19"/>
          <w:szCs w:val="19"/>
          <w:lang w:val="fr-CA"/>
        </w:rPr>
        <w:t xml:space="preserve"> </w:t>
      </w:r>
      <w:r w:rsidR="00F26F6E" w:rsidRPr="00F26F6E">
        <w:rPr>
          <w:rFonts w:ascii="Arial" w:hAnsi="Arial" w:cs="Arial"/>
          <w:sz w:val="19"/>
          <w:szCs w:val="19"/>
          <w:lang w:val="fr-CA"/>
        </w:rPr>
        <w:t>et du Canada</w:t>
      </w:r>
      <w:r w:rsidRPr="004679C3">
        <w:rPr>
          <w:rFonts w:ascii="Arial" w:hAnsi="Arial" w:cs="Arial"/>
          <w:sz w:val="19"/>
          <w:szCs w:val="19"/>
          <w:lang w:val="fr-CA"/>
        </w:rPr>
        <w:t>, qui est limité à 2 500 minutes par poste CU Max ou par ligne d’affaires SIP Max</w:t>
      </w:r>
      <w:r w:rsidR="00273F96" w:rsidRPr="004679C3">
        <w:rPr>
          <w:rFonts w:ascii="Arial" w:hAnsi="Arial" w:cs="Arial"/>
          <w:sz w:val="19"/>
          <w:szCs w:val="19"/>
          <w:lang w:val="fr-CA"/>
        </w:rPr>
        <w:t>.</w:t>
      </w:r>
      <w:bookmarkEnd w:id="17"/>
      <w:r w:rsidR="00273F96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18" w:name="lt_pId020"/>
      <w:r w:rsidR="00F752FB" w:rsidRPr="004679C3">
        <w:rPr>
          <w:rFonts w:ascii="Arial" w:hAnsi="Arial" w:cs="Arial"/>
          <w:sz w:val="19"/>
          <w:szCs w:val="19"/>
          <w:lang w:val="fr-CA"/>
        </w:rPr>
        <w:t>Nous facturerons toute utilisation supplémentaire à la minute aux tarifs indiqués à la section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="00F752FB" w:rsidRPr="004679C3">
        <w:rPr>
          <w:rFonts w:ascii="Arial" w:hAnsi="Arial" w:cs="Arial"/>
          <w:sz w:val="19"/>
          <w:szCs w:val="19"/>
          <w:lang w:val="fr-CA"/>
        </w:rPr>
        <w:t>1.4.</w:t>
      </w:r>
      <w:bookmarkEnd w:id="18"/>
    </w:p>
    <w:p w14:paraId="247BDE7F" w14:textId="3F136B47" w:rsidR="00F26F6E" w:rsidRDefault="00F26F6E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3F0367C0" w14:textId="7559DC22" w:rsidR="00806E4D" w:rsidRPr="004679C3" w:rsidRDefault="009D0B1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19" w:name="lt_pId021"/>
      <w:r w:rsidRPr="004679C3">
        <w:rPr>
          <w:rFonts w:ascii="Arial" w:hAnsi="Arial" w:cs="Arial"/>
          <w:sz w:val="19"/>
          <w:szCs w:val="19"/>
          <w:lang w:val="fr-CA"/>
        </w:rPr>
        <w:t>Les appels sortants qui dépassent la limite de 2 500 minutes seront facturés comme suit :</w:t>
      </w:r>
      <w:bookmarkEnd w:id="19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7996FF4" w14:textId="66C5B3AE" w:rsidR="00DA5C0E" w:rsidRPr="004679C3" w:rsidRDefault="009614FD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  <w:bookmarkStart w:id="20" w:name="lt_pId022"/>
      <w:r w:rsidRPr="004679C3">
        <w:rPr>
          <w:rFonts w:ascii="Arial" w:hAnsi="Arial" w:cs="Arial"/>
          <w:sz w:val="19"/>
          <w:szCs w:val="19"/>
          <w:lang w:val="fr-CA"/>
        </w:rPr>
        <w:t>– </w:t>
      </w:r>
      <w:r w:rsidR="009D0B17" w:rsidRPr="004679C3">
        <w:rPr>
          <w:rFonts w:ascii="Arial" w:hAnsi="Arial" w:cs="Arial"/>
          <w:sz w:val="19"/>
          <w:szCs w:val="19"/>
          <w:lang w:val="fr-CA"/>
        </w:rPr>
        <w:t>Clients américains </w:t>
      </w:r>
      <w:r w:rsidRPr="004679C3">
        <w:rPr>
          <w:rFonts w:ascii="Arial" w:hAnsi="Arial" w:cs="Arial"/>
          <w:sz w:val="19"/>
          <w:szCs w:val="19"/>
          <w:lang w:val="fr-CA"/>
        </w:rPr>
        <w:t>: 0</w:t>
      </w:r>
      <w:r w:rsidR="009D0B17" w:rsidRPr="004679C3">
        <w:rPr>
          <w:rFonts w:ascii="Arial" w:hAnsi="Arial" w:cs="Arial"/>
          <w:sz w:val="19"/>
          <w:szCs w:val="19"/>
          <w:lang w:val="fr-CA"/>
        </w:rPr>
        <w:t>,</w:t>
      </w:r>
      <w:r w:rsidRPr="004679C3">
        <w:rPr>
          <w:rFonts w:ascii="Arial" w:hAnsi="Arial" w:cs="Arial"/>
          <w:sz w:val="19"/>
          <w:szCs w:val="19"/>
          <w:lang w:val="fr-CA"/>
        </w:rPr>
        <w:t>01 $</w:t>
      </w:r>
      <w:r w:rsidR="009D0B17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US </w:t>
      </w:r>
      <w:r w:rsidR="009D0B17" w:rsidRPr="004679C3">
        <w:rPr>
          <w:rFonts w:ascii="Arial" w:hAnsi="Arial" w:cs="Arial"/>
          <w:sz w:val="19"/>
          <w:szCs w:val="19"/>
          <w:lang w:val="fr-CA"/>
        </w:rPr>
        <w:t>par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minute</w:t>
      </w:r>
      <w:bookmarkEnd w:id="20"/>
      <w:r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4689FBC" w14:textId="762B4114" w:rsidR="00DA5C0E" w:rsidRPr="004679C3" w:rsidRDefault="009614FD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  <w:bookmarkStart w:id="21" w:name="lt_pId023"/>
      <w:r w:rsidRPr="004679C3">
        <w:rPr>
          <w:rFonts w:ascii="Arial" w:hAnsi="Arial" w:cs="Arial"/>
          <w:sz w:val="19"/>
          <w:szCs w:val="19"/>
          <w:lang w:val="fr-CA"/>
        </w:rPr>
        <w:t>– </w:t>
      </w:r>
      <w:r w:rsidR="009D0B17" w:rsidRPr="004679C3">
        <w:rPr>
          <w:rFonts w:ascii="Arial" w:hAnsi="Arial" w:cs="Arial"/>
          <w:sz w:val="19"/>
          <w:szCs w:val="19"/>
          <w:lang w:val="fr-CA"/>
        </w:rPr>
        <w:t>Clients canadiens </w:t>
      </w:r>
      <w:r w:rsidRPr="004679C3">
        <w:rPr>
          <w:rFonts w:ascii="Arial" w:hAnsi="Arial" w:cs="Arial"/>
          <w:sz w:val="19"/>
          <w:szCs w:val="19"/>
          <w:lang w:val="fr-CA"/>
        </w:rPr>
        <w:t>: 0</w:t>
      </w:r>
      <w:r w:rsidR="009D0B17" w:rsidRPr="004679C3">
        <w:rPr>
          <w:rFonts w:ascii="Arial" w:hAnsi="Arial" w:cs="Arial"/>
          <w:sz w:val="19"/>
          <w:szCs w:val="19"/>
          <w:lang w:val="fr-CA"/>
        </w:rPr>
        <w:t>,</w:t>
      </w:r>
      <w:r w:rsidRPr="004679C3">
        <w:rPr>
          <w:rFonts w:ascii="Arial" w:hAnsi="Arial" w:cs="Arial"/>
          <w:sz w:val="19"/>
          <w:szCs w:val="19"/>
          <w:lang w:val="fr-CA"/>
        </w:rPr>
        <w:t>015 $</w:t>
      </w:r>
      <w:r w:rsidR="009D0B17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sz w:val="19"/>
          <w:szCs w:val="19"/>
          <w:lang w:val="fr-CA"/>
        </w:rPr>
        <w:t>CA p</w:t>
      </w:r>
      <w:r w:rsidR="009D0B17" w:rsidRPr="004679C3">
        <w:rPr>
          <w:rFonts w:ascii="Arial" w:hAnsi="Arial" w:cs="Arial"/>
          <w:sz w:val="19"/>
          <w:szCs w:val="19"/>
          <w:lang w:val="fr-CA"/>
        </w:rPr>
        <w:t>a</w:t>
      </w:r>
      <w:r w:rsidRPr="004679C3">
        <w:rPr>
          <w:rFonts w:ascii="Arial" w:hAnsi="Arial" w:cs="Arial"/>
          <w:sz w:val="19"/>
          <w:szCs w:val="19"/>
          <w:lang w:val="fr-CA"/>
        </w:rPr>
        <w:t>r minute</w:t>
      </w:r>
      <w:bookmarkEnd w:id="21"/>
    </w:p>
    <w:p w14:paraId="596227F6" w14:textId="7CC4BCB2" w:rsidR="003951F2" w:rsidRPr="004679C3" w:rsidRDefault="003951F2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258B89EE" w14:textId="77777777" w:rsidR="00DD48C6" w:rsidRPr="00DD48C6" w:rsidRDefault="009D0B17" w:rsidP="00DD48C6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22" w:name="_Hlk98143476"/>
      <w:bookmarkStart w:id="23" w:name="lt_pId024"/>
      <w:r w:rsidRPr="004679C3">
        <w:rPr>
          <w:rFonts w:ascii="Arial" w:hAnsi="Arial" w:cs="Arial"/>
          <w:sz w:val="19"/>
          <w:szCs w:val="19"/>
          <w:lang w:val="fr-CA"/>
        </w:rPr>
        <w:t xml:space="preserve">Les tarifs à la minute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applicables aux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appels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aux États-Unis dans la zone de couverture étendue (Hawa</w:t>
      </w:r>
      <w:r w:rsidRPr="004679C3">
        <w:rPr>
          <w:rFonts w:ascii="Arial" w:hAnsi="Arial" w:cs="Arial"/>
          <w:sz w:val="19"/>
          <w:szCs w:val="19"/>
          <w:lang w:val="fr-CA"/>
        </w:rPr>
        <w:t>ï</w:t>
      </w:r>
      <w:r w:rsidR="009614FD" w:rsidRPr="004679C3">
        <w:rPr>
          <w:rFonts w:ascii="Arial" w:hAnsi="Arial" w:cs="Arial"/>
          <w:sz w:val="19"/>
          <w:szCs w:val="19"/>
          <w:lang w:val="fr-CA"/>
        </w:rPr>
        <w:t>, Alaska, Guam, P</w:t>
      </w:r>
      <w:r w:rsidRPr="004679C3">
        <w:rPr>
          <w:rFonts w:ascii="Arial" w:hAnsi="Arial" w:cs="Arial"/>
          <w:sz w:val="19"/>
          <w:szCs w:val="19"/>
          <w:lang w:val="fr-CA"/>
        </w:rPr>
        <w:t>o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rto Rico, </w:t>
      </w:r>
      <w:r w:rsidRPr="004679C3">
        <w:rPr>
          <w:rFonts w:ascii="Arial" w:hAnsi="Arial" w:cs="Arial"/>
          <w:sz w:val="19"/>
          <w:szCs w:val="19"/>
          <w:lang w:val="fr-CA"/>
        </w:rPr>
        <w:t>îles Vierges américaines et îles Mariannes du Nord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) 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et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aux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appels internationaux sont fournis sur </w:t>
      </w:r>
      <w:proofErr w:type="gramStart"/>
      <w:r w:rsidRPr="004679C3">
        <w:rPr>
          <w:rFonts w:ascii="Arial" w:hAnsi="Arial" w:cs="Arial"/>
          <w:sz w:val="19"/>
          <w:szCs w:val="19"/>
          <w:lang w:val="fr-CA"/>
        </w:rPr>
        <w:t>demande</w:t>
      </w:r>
      <w:bookmarkEnd w:id="23"/>
      <w:r w:rsidR="00DD48C6">
        <w:rPr>
          <w:rFonts w:ascii="Arial" w:hAnsi="Arial" w:cs="Arial"/>
          <w:sz w:val="19"/>
          <w:szCs w:val="19"/>
          <w:lang w:val="fr-CA"/>
        </w:rPr>
        <w:t xml:space="preserve"> 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r w:rsidR="00DD48C6" w:rsidRPr="00DD48C6">
        <w:rPr>
          <w:rFonts w:ascii="Arial" w:hAnsi="Arial" w:cs="Arial"/>
          <w:sz w:val="19"/>
          <w:szCs w:val="19"/>
          <w:lang w:val="fr-CA"/>
        </w:rPr>
        <w:t>et</w:t>
      </w:r>
      <w:proofErr w:type="gramEnd"/>
      <w:r w:rsidR="00DD48C6" w:rsidRPr="00DD48C6">
        <w:rPr>
          <w:rFonts w:ascii="Arial" w:hAnsi="Arial" w:cs="Arial"/>
          <w:sz w:val="19"/>
          <w:szCs w:val="19"/>
          <w:lang w:val="fr-CA"/>
        </w:rPr>
        <w:t xml:space="preserve"> peuvent changer.</w:t>
      </w:r>
    </w:p>
    <w:p w14:paraId="1947F9B0" w14:textId="75373FB5" w:rsidR="006D7C7D" w:rsidRPr="004679C3" w:rsidRDefault="006D7C7D" w:rsidP="00DD48C6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bookmarkEnd w:id="22"/>
    <w:p w14:paraId="40B2509A" w14:textId="77777777" w:rsidR="004D2191" w:rsidRPr="004679C3" w:rsidRDefault="004D2191" w:rsidP="006F47EA">
      <w:pPr>
        <w:pStyle w:val="ListParagraph"/>
        <w:jc w:val="both"/>
        <w:rPr>
          <w:rFonts w:ascii="Arial" w:hAnsi="Arial" w:cs="Arial"/>
          <w:sz w:val="19"/>
          <w:szCs w:val="19"/>
          <w:u w:val="single"/>
          <w:lang w:val="fr-CA"/>
        </w:rPr>
      </w:pPr>
    </w:p>
    <w:p w14:paraId="6FD48F57" w14:textId="488BF1B8" w:rsidR="004D2191" w:rsidRPr="004679C3" w:rsidRDefault="00850A33" w:rsidP="006F47E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  <w:bookmarkStart w:id="24" w:name="lt_pId025"/>
      <w:r w:rsidRPr="004679C3">
        <w:rPr>
          <w:rFonts w:ascii="Arial" w:hAnsi="Arial" w:cs="Arial"/>
          <w:b/>
          <w:bCs/>
          <w:sz w:val="19"/>
          <w:szCs w:val="19"/>
          <w:u w:val="single"/>
          <w:lang w:val="fr-CA"/>
        </w:rPr>
        <w:t>Service Numéro sans frais</w:t>
      </w:r>
      <w:bookmarkEnd w:id="24"/>
    </w:p>
    <w:p w14:paraId="3BC4F616" w14:textId="77777777" w:rsidR="004D2191" w:rsidRPr="004679C3" w:rsidRDefault="004D2191" w:rsidP="006F47EA">
      <w:pPr>
        <w:pStyle w:val="ListParagraph"/>
        <w:ind w:left="360"/>
        <w:jc w:val="both"/>
        <w:rPr>
          <w:rFonts w:ascii="Arial" w:hAnsi="Arial" w:cs="Arial"/>
          <w:sz w:val="19"/>
          <w:szCs w:val="19"/>
          <w:lang w:val="fr-CA"/>
        </w:rPr>
      </w:pPr>
    </w:p>
    <w:p w14:paraId="70A1C727" w14:textId="63488DCC" w:rsidR="004D2191" w:rsidRPr="004679C3" w:rsidRDefault="009D0B1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25" w:name="lt_pId026"/>
      <w:r w:rsidRPr="004679C3">
        <w:rPr>
          <w:rFonts w:ascii="Arial" w:hAnsi="Arial" w:cs="Arial"/>
          <w:sz w:val="19"/>
          <w:szCs w:val="19"/>
          <w:lang w:val="fr-CA"/>
        </w:rPr>
        <w:t>Les services Numéro sans frais sont offerts en option.</w:t>
      </w:r>
      <w:bookmarkEnd w:id="25"/>
      <w:r w:rsidR="00CD3E63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126FE23B" w14:textId="77777777" w:rsidR="004D2191" w:rsidRPr="004679C3" w:rsidRDefault="004D2191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13D7C65D" w14:textId="30E1CC6E" w:rsidR="00DD48C6" w:rsidRPr="00DD48C6" w:rsidRDefault="009D0B17" w:rsidP="00DD48C6">
      <w:pPr>
        <w:pStyle w:val="ListParagraph"/>
        <w:numPr>
          <w:ilvl w:val="1"/>
          <w:numId w:val="34"/>
        </w:numPr>
        <w:rPr>
          <w:rFonts w:ascii="Arial" w:hAnsi="Arial" w:cs="Arial"/>
          <w:sz w:val="19"/>
          <w:szCs w:val="19"/>
          <w:lang w:val="fr-CA"/>
        </w:rPr>
      </w:pPr>
      <w:r w:rsidRPr="004679C3">
        <w:rPr>
          <w:rFonts w:ascii="Arial" w:hAnsi="Arial" w:cs="Arial"/>
          <w:sz w:val="19"/>
          <w:szCs w:val="19"/>
          <w:lang w:val="fr-CA"/>
        </w:rPr>
        <w:t xml:space="preserve">Les tarifs à la minute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applicables au s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ervice Numéro sans frais pour les appels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aux États-Unis dans la zone de couverture étendue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(Hawaï, Alaska, Guam, Porto Rico, îles Vierges américaines et îles Mariannes du Nord) sont fournis sur demande</w:t>
      </w:r>
      <w:r w:rsidR="00DD48C6">
        <w:rPr>
          <w:rFonts w:ascii="Arial" w:hAnsi="Arial" w:cs="Arial"/>
          <w:sz w:val="19"/>
          <w:szCs w:val="19"/>
          <w:lang w:val="fr-CA"/>
        </w:rPr>
        <w:t xml:space="preserve"> </w:t>
      </w:r>
      <w:r w:rsidR="00DD48C6" w:rsidRPr="00DD48C6">
        <w:rPr>
          <w:rFonts w:ascii="Arial" w:hAnsi="Arial" w:cs="Arial"/>
          <w:sz w:val="19"/>
          <w:szCs w:val="19"/>
          <w:lang w:val="fr-CA"/>
        </w:rPr>
        <w:t>et peuvent changer.</w:t>
      </w:r>
    </w:p>
    <w:p w14:paraId="44668ABD" w14:textId="77777777" w:rsidR="00E77DBD" w:rsidRPr="00DD48C6" w:rsidRDefault="00E77DBD" w:rsidP="00DD48C6">
      <w:pPr>
        <w:jc w:val="both"/>
        <w:rPr>
          <w:rFonts w:ascii="Arial" w:hAnsi="Arial" w:cs="Arial"/>
          <w:sz w:val="19"/>
          <w:szCs w:val="19"/>
          <w:lang w:val="fr-CA"/>
        </w:rPr>
      </w:pPr>
    </w:p>
    <w:p w14:paraId="542F74C3" w14:textId="095F86E7" w:rsidR="00E77DBD" w:rsidRPr="00DD48C6" w:rsidRDefault="009D0B17" w:rsidP="00DD48C6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26" w:name="lt_pId028"/>
      <w:r w:rsidRPr="004679C3">
        <w:rPr>
          <w:rFonts w:ascii="Arial" w:hAnsi="Arial" w:cs="Arial"/>
          <w:sz w:val="19"/>
          <w:szCs w:val="19"/>
          <w:lang w:val="fr-CA"/>
        </w:rPr>
        <w:t>Le service Numéro sans frais international et les fonctions connexes sont offerts en option. Les tarifs internationaux sont fournis sur demande</w:t>
      </w:r>
      <w:r w:rsidR="00DD48C6">
        <w:rPr>
          <w:rFonts w:ascii="Arial" w:hAnsi="Arial" w:cs="Arial"/>
          <w:sz w:val="19"/>
          <w:szCs w:val="19"/>
          <w:lang w:val="fr-CA"/>
        </w:rPr>
        <w:t xml:space="preserve"> </w:t>
      </w:r>
      <w:r w:rsidR="00DD48C6" w:rsidRPr="00DD48C6">
        <w:rPr>
          <w:rFonts w:ascii="Arial" w:hAnsi="Arial" w:cs="Arial"/>
          <w:sz w:val="19"/>
          <w:szCs w:val="19"/>
          <w:lang w:val="fr-CA"/>
        </w:rPr>
        <w:t>et peuvent changer.</w:t>
      </w:r>
      <w:bookmarkEnd w:id="26"/>
    </w:p>
    <w:p w14:paraId="3B9F38DA" w14:textId="77777777" w:rsidR="00E77DBD" w:rsidRPr="004679C3" w:rsidRDefault="00E77DBD" w:rsidP="006F47EA">
      <w:pPr>
        <w:pStyle w:val="ListParagraph"/>
        <w:jc w:val="both"/>
        <w:rPr>
          <w:rStyle w:val="eop"/>
          <w:rFonts w:ascii="Arial" w:eastAsiaTheme="majorEastAsia" w:hAnsi="Arial" w:cs="Arial"/>
          <w:sz w:val="19"/>
          <w:szCs w:val="19"/>
          <w:lang w:val="fr-CA"/>
        </w:rPr>
      </w:pPr>
    </w:p>
    <w:p w14:paraId="371E4462" w14:textId="12E1B301" w:rsidR="00323BF8" w:rsidRPr="004679C3" w:rsidRDefault="009D0B17" w:rsidP="006F47EA">
      <w:pPr>
        <w:pStyle w:val="ListParagraph"/>
        <w:numPr>
          <w:ilvl w:val="1"/>
          <w:numId w:val="34"/>
        </w:numPr>
        <w:jc w:val="both"/>
        <w:rPr>
          <w:rStyle w:val="eop"/>
          <w:rFonts w:ascii="Arial" w:hAnsi="Arial" w:cs="Arial"/>
          <w:sz w:val="19"/>
          <w:szCs w:val="19"/>
          <w:lang w:val="fr-CA"/>
        </w:rPr>
      </w:pPr>
      <w:bookmarkStart w:id="27" w:name="lt_pId030"/>
      <w:r w:rsidRPr="004679C3">
        <w:rPr>
          <w:rStyle w:val="eop"/>
          <w:rFonts w:ascii="Arial" w:eastAsiaTheme="majorEastAsia" w:hAnsi="Arial" w:cs="Arial"/>
          <w:sz w:val="19"/>
          <w:szCs w:val="19"/>
          <w:lang w:val="fr-CA"/>
        </w:rPr>
        <w:t>Les appels aux numéros sans frais provenant d’un téléphone public entraîneront un supplément.</w:t>
      </w:r>
      <w:bookmarkEnd w:id="27"/>
      <w:r w:rsidR="009614FD" w:rsidRPr="004679C3">
        <w:rPr>
          <w:rStyle w:val="eop"/>
          <w:rFonts w:ascii="Arial" w:eastAsiaTheme="majorEastAsia" w:hAnsi="Arial" w:cs="Arial"/>
          <w:sz w:val="19"/>
          <w:szCs w:val="19"/>
          <w:lang w:val="fr-CA"/>
        </w:rPr>
        <w:t xml:space="preserve"> </w:t>
      </w:r>
    </w:p>
    <w:p w14:paraId="257D6AEF" w14:textId="77777777" w:rsidR="00FC0BF8" w:rsidRPr="004679C3" w:rsidRDefault="00FC0BF8" w:rsidP="00FC0BF8">
      <w:pPr>
        <w:pStyle w:val="ListParagrap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52085A4F" w14:textId="377C0D70" w:rsidR="00FC0BF8" w:rsidRDefault="00FC0BF8" w:rsidP="00FC0BF8">
      <w:pPr>
        <w:pStyle w:val="ListParagraph"/>
        <w:ind w:left="792"/>
        <w:jc w:val="bot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2D1C46EC" w14:textId="30D99F48" w:rsidR="008B21A5" w:rsidRDefault="008B21A5" w:rsidP="00FC0BF8">
      <w:pPr>
        <w:pStyle w:val="ListParagraph"/>
        <w:ind w:left="792"/>
        <w:jc w:val="bot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27C054F0" w14:textId="1887557B" w:rsidR="008B21A5" w:rsidRDefault="008B21A5" w:rsidP="00FC0BF8">
      <w:pPr>
        <w:pStyle w:val="ListParagraph"/>
        <w:ind w:left="792"/>
        <w:jc w:val="bot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1AE6FE71" w14:textId="77777777" w:rsidR="008B21A5" w:rsidRPr="004679C3" w:rsidRDefault="008B21A5" w:rsidP="00FC0BF8">
      <w:pPr>
        <w:pStyle w:val="ListParagraph"/>
        <w:ind w:left="792"/>
        <w:jc w:val="bot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1F323919" w14:textId="77777777" w:rsidR="00323BF8" w:rsidRPr="004679C3" w:rsidRDefault="00323BF8" w:rsidP="006F47EA">
      <w:pPr>
        <w:pStyle w:val="ListParagraph"/>
        <w:jc w:val="both"/>
        <w:rPr>
          <w:rFonts w:ascii="Arial" w:hAnsi="Arial" w:cs="Arial"/>
          <w:sz w:val="19"/>
          <w:szCs w:val="19"/>
          <w:u w:val="single"/>
          <w:lang w:val="fr-CA"/>
        </w:rPr>
      </w:pPr>
    </w:p>
    <w:p w14:paraId="54B8D6FF" w14:textId="1BE031B2" w:rsidR="00323BF8" w:rsidRPr="004679C3" w:rsidRDefault="009D0B17" w:rsidP="006F47E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  <w:bookmarkStart w:id="28" w:name="lt_pId031"/>
      <w:r w:rsidRPr="004679C3">
        <w:rPr>
          <w:rFonts w:ascii="Arial" w:hAnsi="Arial" w:cs="Arial"/>
          <w:b/>
          <w:bCs/>
          <w:sz w:val="19"/>
          <w:szCs w:val="19"/>
          <w:u w:val="single"/>
          <w:lang w:val="fr-CA"/>
        </w:rPr>
        <w:t>Tranches de facturation</w:t>
      </w:r>
      <w:bookmarkEnd w:id="28"/>
    </w:p>
    <w:p w14:paraId="35131C8A" w14:textId="77777777" w:rsidR="00323BF8" w:rsidRPr="004679C3" w:rsidRDefault="00323BF8" w:rsidP="006F47EA">
      <w:pPr>
        <w:pStyle w:val="ListParagraph"/>
        <w:ind w:left="360"/>
        <w:jc w:val="both"/>
        <w:rPr>
          <w:rFonts w:ascii="Arial" w:hAnsi="Arial" w:cs="Arial"/>
          <w:sz w:val="19"/>
          <w:szCs w:val="19"/>
          <w:lang w:val="fr-CA"/>
        </w:rPr>
      </w:pPr>
    </w:p>
    <w:p w14:paraId="377F2FC0" w14:textId="2D170C7C" w:rsidR="002B7078" w:rsidRPr="004679C3" w:rsidRDefault="001D48C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29" w:name="lt_pId032"/>
      <w:r w:rsidRPr="004679C3">
        <w:rPr>
          <w:rFonts w:ascii="Arial" w:hAnsi="Arial" w:cs="Arial"/>
          <w:sz w:val="19"/>
          <w:szCs w:val="19"/>
          <w:lang w:val="fr-CA"/>
        </w:rPr>
        <w:t>À l’exception du service Numéro sans frais international</w:t>
      </w:r>
      <w:r w:rsidR="009614FD" w:rsidRPr="004679C3">
        <w:rPr>
          <w:rFonts w:ascii="Arial" w:hAnsi="Arial" w:cs="Arial"/>
          <w:sz w:val="19"/>
          <w:szCs w:val="19"/>
          <w:lang w:val="fr-CA"/>
        </w:rPr>
        <w:t>,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qui est facturé par tranches de 60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secondes, toute l’utilisation est facturée par tranches initiales de 30 secondes, puis par tranches de </w:t>
      </w:r>
      <w:r w:rsidR="00403F1B" w:rsidRPr="004679C3">
        <w:rPr>
          <w:rFonts w:ascii="Arial" w:hAnsi="Arial" w:cs="Arial"/>
          <w:sz w:val="19"/>
          <w:szCs w:val="19"/>
          <w:lang w:val="fr-CA"/>
        </w:rPr>
        <w:t>6</w:t>
      </w:r>
      <w:r w:rsidRPr="004679C3">
        <w:rPr>
          <w:rFonts w:ascii="Arial" w:hAnsi="Arial" w:cs="Arial"/>
          <w:sz w:val="19"/>
          <w:szCs w:val="19"/>
          <w:lang w:val="fr-CA"/>
        </w:rPr>
        <w:t> </w:t>
      </w:r>
      <w:r w:rsidR="00403F1B" w:rsidRPr="004679C3">
        <w:rPr>
          <w:rFonts w:ascii="Arial" w:hAnsi="Arial" w:cs="Arial"/>
          <w:sz w:val="19"/>
          <w:szCs w:val="19"/>
          <w:lang w:val="fr-CA"/>
        </w:rPr>
        <w:t>second</w:t>
      </w:r>
      <w:r w:rsidRPr="004679C3">
        <w:rPr>
          <w:rFonts w:ascii="Arial" w:hAnsi="Arial" w:cs="Arial"/>
          <w:sz w:val="19"/>
          <w:szCs w:val="19"/>
          <w:lang w:val="fr-CA"/>
        </w:rPr>
        <w:t>es.</w:t>
      </w:r>
      <w:bookmarkEnd w:id="29"/>
      <w:r w:rsidR="00403F1B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059DD4E" w14:textId="1D1674B2" w:rsidR="002B7078" w:rsidRPr="004679C3" w:rsidRDefault="002B7078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018791EE" w14:textId="48F612F4" w:rsidR="006F47EA" w:rsidRPr="004679C3" w:rsidRDefault="006F47EA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2341FD06" w14:textId="77777777" w:rsidR="006F47EA" w:rsidRPr="004679C3" w:rsidRDefault="006F47EA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6633C98B" w14:textId="77777777" w:rsidR="00724E36" w:rsidRPr="004679C3" w:rsidRDefault="00850A33" w:rsidP="006F47E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sz w:val="19"/>
          <w:szCs w:val="19"/>
          <w:lang w:val="fr-CA"/>
        </w:rPr>
      </w:pPr>
      <w:bookmarkStart w:id="30" w:name="lt_pId034"/>
      <w:r w:rsidRPr="004679C3">
        <w:rPr>
          <w:rFonts w:ascii="Arial" w:hAnsi="Arial" w:cs="Arial"/>
          <w:b/>
          <w:bCs/>
          <w:sz w:val="19"/>
          <w:szCs w:val="19"/>
          <w:u w:val="single"/>
          <w:lang w:val="fr-CA"/>
        </w:rPr>
        <w:t>Utilisation acceptable</w:t>
      </w:r>
      <w:bookmarkEnd w:id="30"/>
    </w:p>
    <w:p w14:paraId="6BC7C145" w14:textId="77777777" w:rsidR="00724E36" w:rsidRPr="004679C3" w:rsidRDefault="00724E36" w:rsidP="006F47EA">
      <w:pPr>
        <w:pStyle w:val="ListParagraph"/>
        <w:jc w:val="both"/>
        <w:rPr>
          <w:rFonts w:ascii="Arial" w:hAnsi="Arial" w:cs="Arial"/>
          <w:sz w:val="19"/>
          <w:szCs w:val="19"/>
          <w:lang w:val="fr-CA"/>
        </w:rPr>
      </w:pPr>
    </w:p>
    <w:p w14:paraId="21448FD4" w14:textId="20609EEA" w:rsidR="006A711C" w:rsidRPr="004679C3" w:rsidRDefault="001D48C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31" w:name="lt_pId035"/>
      <w:r w:rsidRPr="004679C3">
        <w:rPr>
          <w:rFonts w:ascii="Arial" w:hAnsi="Arial" w:cs="Arial"/>
          <w:sz w:val="19"/>
          <w:szCs w:val="19"/>
          <w:lang w:val="fr-CA"/>
        </w:rPr>
        <w:t>Les limitations suivantes s’appliquent au trafic :</w:t>
      </w:r>
      <w:bookmarkEnd w:id="31"/>
      <w:r w:rsidR="000C14E3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788CB4A" w14:textId="77777777" w:rsidR="006A711C" w:rsidRPr="004679C3" w:rsidRDefault="006A711C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448778E5" w14:textId="505B6023" w:rsidR="00B14176" w:rsidRPr="004679C3" w:rsidRDefault="001D48C7" w:rsidP="006F47EA">
      <w:pPr>
        <w:pStyle w:val="ListParagraph"/>
        <w:numPr>
          <w:ilvl w:val="2"/>
          <w:numId w:val="34"/>
        </w:numPr>
        <w:jc w:val="both"/>
        <w:rPr>
          <w:rStyle w:val="eop"/>
          <w:rFonts w:ascii="Arial" w:hAnsi="Arial" w:cs="Arial"/>
          <w:sz w:val="19"/>
          <w:szCs w:val="19"/>
          <w:lang w:val="fr-CA"/>
        </w:rPr>
      </w:pPr>
      <w:bookmarkStart w:id="32" w:name="lt_pId036"/>
      <w:r w:rsidRPr="004679C3">
        <w:rPr>
          <w:rFonts w:ascii="Arial" w:hAnsi="Arial" w:cs="Arial"/>
          <w:sz w:val="19"/>
          <w:szCs w:val="19"/>
          <w:lang w:val="fr-CA"/>
        </w:rPr>
        <w:t xml:space="preserve">Les tarifs applicables aux appels 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entrants et </w:t>
      </w:r>
      <w:r w:rsidRPr="004679C3">
        <w:rPr>
          <w:rFonts w:ascii="Arial" w:hAnsi="Arial" w:cs="Arial"/>
          <w:sz w:val="19"/>
          <w:szCs w:val="19"/>
          <w:lang w:val="fr-CA"/>
        </w:rPr>
        <w:t>sortants sont établis en fonction d’une répartition présumée des minutes d’appels à destination et en provenance des régions coûteuses et moins coûteuses à desservir aux États-Unis et au Canada. Au Canada, les régions coûteuses à desservir comprennent, entre autres, les territoires du Nord.</w:t>
      </w:r>
      <w:bookmarkEnd w:id="32"/>
      <w:r w:rsidR="00532C60" w:rsidRPr="004679C3">
        <w:rPr>
          <w:rStyle w:val="normaltextrun"/>
          <w:rFonts w:ascii="Arial" w:hAnsi="Arial" w:cs="Arial"/>
          <w:sz w:val="19"/>
          <w:szCs w:val="19"/>
          <w:lang w:val="fr-CA"/>
        </w:rPr>
        <w:t> </w:t>
      </w:r>
      <w:r w:rsidR="00941EF8" w:rsidRPr="004679C3">
        <w:rPr>
          <w:rStyle w:val="eop"/>
          <w:rFonts w:ascii="Arial" w:hAnsi="Arial" w:cs="Arial"/>
          <w:color w:val="FF0000"/>
          <w:sz w:val="19"/>
          <w:szCs w:val="19"/>
          <w:lang w:val="fr-CA"/>
        </w:rPr>
        <w:t xml:space="preserve"> </w:t>
      </w:r>
    </w:p>
    <w:p w14:paraId="1B9079F3" w14:textId="77777777" w:rsidR="002D3E1A" w:rsidRPr="004679C3" w:rsidRDefault="002D3E1A" w:rsidP="006F47EA">
      <w:pPr>
        <w:pStyle w:val="ListParagraph"/>
        <w:ind w:left="1224"/>
        <w:jc w:val="both"/>
        <w:rPr>
          <w:rStyle w:val="eop"/>
          <w:rFonts w:ascii="Arial" w:hAnsi="Arial" w:cs="Arial"/>
          <w:sz w:val="19"/>
          <w:szCs w:val="19"/>
          <w:lang w:val="fr-CA"/>
        </w:rPr>
      </w:pPr>
    </w:p>
    <w:p w14:paraId="0EC34EE5" w14:textId="6B32E504" w:rsidR="00B14176" w:rsidRPr="004679C3" w:rsidRDefault="001D48C7" w:rsidP="006F47EA">
      <w:pPr>
        <w:pStyle w:val="ListParagraph"/>
        <w:numPr>
          <w:ilvl w:val="2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33" w:name="lt_pId038"/>
      <w:r w:rsidRPr="004679C3">
        <w:rPr>
          <w:rFonts w:ascii="Arial" w:hAnsi="Arial" w:cs="Arial"/>
          <w:sz w:val="19"/>
          <w:szCs w:val="19"/>
          <w:lang w:val="fr-CA"/>
        </w:rPr>
        <w:t xml:space="preserve">Les appels de courte durée durent moins de 30 secondes. Le trafic 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entrant et 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sortant du client, évalué de manière indépendante, ne devrait pas comporter plus de </w:t>
      </w:r>
      <w:bookmarkStart w:id="34" w:name="lt_pId039"/>
      <w:bookmarkEnd w:id="33"/>
      <w:r w:rsidR="00075893" w:rsidRPr="004679C3">
        <w:rPr>
          <w:rFonts w:ascii="Arial" w:hAnsi="Arial" w:cs="Arial"/>
          <w:sz w:val="19"/>
          <w:szCs w:val="19"/>
          <w:lang w:val="fr-CA"/>
        </w:rPr>
        <w:t>15</w:t>
      </w:r>
      <w:r w:rsidRPr="004679C3">
        <w:rPr>
          <w:rFonts w:ascii="Arial" w:hAnsi="Arial" w:cs="Arial"/>
          <w:sz w:val="19"/>
          <w:szCs w:val="19"/>
          <w:lang w:val="fr-CA"/>
        </w:rPr>
        <w:t> </w:t>
      </w:r>
      <w:r w:rsidR="00075893" w:rsidRPr="004679C3">
        <w:rPr>
          <w:rFonts w:ascii="Arial" w:hAnsi="Arial" w:cs="Arial"/>
          <w:sz w:val="19"/>
          <w:szCs w:val="19"/>
          <w:lang w:val="fr-CA"/>
        </w:rPr>
        <w:t>%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d’appels de courte durée</w:t>
      </w:r>
      <w:r w:rsidR="00075893" w:rsidRPr="004679C3">
        <w:rPr>
          <w:rFonts w:ascii="Arial" w:hAnsi="Arial" w:cs="Arial"/>
          <w:sz w:val="19"/>
          <w:szCs w:val="19"/>
          <w:lang w:val="fr-CA"/>
        </w:rPr>
        <w:t>.</w:t>
      </w:r>
      <w:bookmarkEnd w:id="34"/>
      <w:r w:rsidR="00075893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3DF26A9C" w14:textId="77777777" w:rsidR="007B2E13" w:rsidRPr="004679C3" w:rsidRDefault="007B2E13" w:rsidP="006F47EA">
      <w:pPr>
        <w:ind w:left="720"/>
        <w:jc w:val="both"/>
        <w:rPr>
          <w:rFonts w:ascii="Arial" w:hAnsi="Arial" w:cs="Arial"/>
          <w:sz w:val="19"/>
          <w:szCs w:val="19"/>
          <w:lang w:val="fr-CA"/>
        </w:rPr>
      </w:pPr>
    </w:p>
    <w:p w14:paraId="6C2A8A24" w14:textId="5558FA41" w:rsidR="00E66B4E" w:rsidRPr="004679C3" w:rsidRDefault="001D48C7" w:rsidP="006F47EA">
      <w:pPr>
        <w:pStyle w:val="ListParagraph"/>
        <w:numPr>
          <w:ilvl w:val="1"/>
          <w:numId w:val="34"/>
        </w:numPr>
        <w:jc w:val="both"/>
        <w:rPr>
          <w:rStyle w:val="eop"/>
          <w:rFonts w:ascii="Arial" w:hAnsi="Arial" w:cs="Arial"/>
          <w:sz w:val="19"/>
          <w:szCs w:val="19"/>
          <w:lang w:val="fr-CA"/>
        </w:rPr>
      </w:pPr>
      <w:bookmarkStart w:id="35" w:name="lt_pId040"/>
      <w:r w:rsidRPr="004679C3">
        <w:rPr>
          <w:rFonts w:ascii="Arial" w:hAnsi="Arial" w:cs="Arial"/>
          <w:sz w:val="19"/>
          <w:szCs w:val="19"/>
          <w:lang w:val="fr-CA"/>
        </w:rPr>
        <w:t xml:space="preserve">S’il y avait un écart important par rapport aux valeurs seuils indiquées à la </w:t>
      </w:r>
      <w:r w:rsidR="006F47EA" w:rsidRPr="004679C3">
        <w:rPr>
          <w:rFonts w:ascii="Arial" w:hAnsi="Arial" w:cs="Arial"/>
          <w:sz w:val="19"/>
          <w:szCs w:val="19"/>
          <w:lang w:val="fr-CA"/>
        </w:rPr>
        <w:t>section</w:t>
      </w:r>
      <w:r w:rsidR="009614FD" w:rsidRPr="004679C3">
        <w:rPr>
          <w:rFonts w:ascii="Arial" w:hAnsi="Arial" w:cs="Arial"/>
          <w:sz w:val="19"/>
          <w:szCs w:val="19"/>
          <w:lang w:val="fr-CA"/>
        </w:rPr>
        <w:t> </w:t>
      </w:r>
      <w:r w:rsidR="006F47EA" w:rsidRPr="004679C3">
        <w:rPr>
          <w:rFonts w:ascii="Arial" w:hAnsi="Arial" w:cs="Arial"/>
          <w:sz w:val="19"/>
          <w:szCs w:val="19"/>
          <w:lang w:val="fr-CA"/>
        </w:rPr>
        <w:t xml:space="preserve">4.1 </w:t>
      </w:r>
      <w:r w:rsidRPr="004679C3">
        <w:rPr>
          <w:rFonts w:ascii="Arial" w:hAnsi="Arial" w:cs="Arial"/>
          <w:sz w:val="19"/>
          <w:szCs w:val="19"/>
          <w:lang w:val="fr-CA"/>
        </w:rPr>
        <w:t>ci-dessus durant une période de facturation</w:t>
      </w:r>
      <w:r w:rsidR="006F47EA" w:rsidRPr="004679C3">
        <w:rPr>
          <w:rFonts w:ascii="Arial" w:hAnsi="Arial" w:cs="Arial"/>
          <w:sz w:val="19"/>
          <w:szCs w:val="19"/>
          <w:lang w:val="fr-CA"/>
        </w:rPr>
        <w:t xml:space="preserve">, Allstream </w:t>
      </w:r>
      <w:r w:rsidRPr="004679C3">
        <w:rPr>
          <w:rFonts w:ascii="Arial" w:hAnsi="Arial" w:cs="Arial"/>
          <w:sz w:val="19"/>
          <w:szCs w:val="19"/>
          <w:lang w:val="fr-CA"/>
        </w:rPr>
        <w:t>peut</w:t>
      </w:r>
      <w:r w:rsidR="006F47EA" w:rsidRPr="004679C3">
        <w:rPr>
          <w:rFonts w:ascii="Arial" w:hAnsi="Arial" w:cs="Arial"/>
          <w:sz w:val="19"/>
          <w:szCs w:val="19"/>
          <w:lang w:val="fr-CA"/>
        </w:rPr>
        <w:t xml:space="preserve">, 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moyennant un préavis écrit de trente (30) jours au client, interrompre les services ou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établir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un tarif à la minute plus élevé ou des tarifs récurrents mensuels plus élevés, selon le cas, jusqu’à l’atteinte des valeurs seuils.</w:t>
      </w:r>
      <w:bookmarkStart w:id="36" w:name="lt_pId041"/>
      <w:bookmarkEnd w:id="35"/>
      <w:r w:rsidRPr="004679C3">
        <w:rPr>
          <w:rFonts w:ascii="Arial" w:hAnsi="Arial" w:cs="Arial"/>
          <w:sz w:val="19"/>
          <w:szCs w:val="19"/>
          <w:lang w:val="fr-CA"/>
        </w:rPr>
        <w:t xml:space="preserve"> Lorsque de tels écarts se produisent, </w:t>
      </w:r>
      <w:r w:rsidR="00423867" w:rsidRPr="004679C3">
        <w:rPr>
          <w:rStyle w:val="eop"/>
          <w:rFonts w:ascii="Arial" w:hAnsi="Arial" w:cs="Arial"/>
          <w:sz w:val="19"/>
          <w:szCs w:val="19"/>
          <w:lang w:val="fr-CA"/>
        </w:rPr>
        <w:t xml:space="preserve">Allstream </w:t>
      </w:r>
      <w:r w:rsidRPr="004679C3">
        <w:rPr>
          <w:rStyle w:val="eop"/>
          <w:rFonts w:ascii="Arial" w:hAnsi="Arial" w:cs="Arial"/>
          <w:sz w:val="19"/>
          <w:szCs w:val="19"/>
          <w:lang w:val="fr-CA"/>
        </w:rPr>
        <w:t>se ré</w:t>
      </w:r>
      <w:r w:rsidR="009614FD" w:rsidRPr="004679C3">
        <w:rPr>
          <w:rStyle w:val="eop"/>
          <w:rFonts w:ascii="Arial" w:hAnsi="Arial" w:cs="Arial"/>
          <w:sz w:val="19"/>
          <w:szCs w:val="19"/>
          <w:lang w:val="fr-CA"/>
        </w:rPr>
        <w:t>serve</w:t>
      </w:r>
      <w:r w:rsidRPr="004679C3">
        <w:rPr>
          <w:rStyle w:val="eop"/>
          <w:rFonts w:ascii="Arial" w:hAnsi="Arial" w:cs="Arial"/>
          <w:sz w:val="19"/>
          <w:szCs w:val="19"/>
          <w:lang w:val="fr-CA"/>
        </w:rPr>
        <w:t xml:space="preserve"> le droit de rétrofacturer le client aux ta</w:t>
      </w:r>
      <w:r w:rsidR="00423867" w:rsidRPr="004679C3">
        <w:rPr>
          <w:rStyle w:val="eop"/>
          <w:rFonts w:ascii="Arial" w:hAnsi="Arial" w:cs="Arial"/>
          <w:sz w:val="19"/>
          <w:szCs w:val="19"/>
          <w:lang w:val="fr-CA"/>
        </w:rPr>
        <w:t>r</w:t>
      </w:r>
      <w:r w:rsidRPr="004679C3">
        <w:rPr>
          <w:rStyle w:val="eop"/>
          <w:rFonts w:ascii="Arial" w:hAnsi="Arial" w:cs="Arial"/>
          <w:sz w:val="19"/>
          <w:szCs w:val="19"/>
          <w:lang w:val="fr-CA"/>
        </w:rPr>
        <w:t>ifs plus élevés afin d’inclure la période de préavis de 30 jours.</w:t>
      </w:r>
      <w:bookmarkEnd w:id="36"/>
    </w:p>
    <w:p w14:paraId="7494435A" w14:textId="77777777" w:rsidR="00E66B4E" w:rsidRPr="004679C3" w:rsidRDefault="00E66B4E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</w:p>
    <w:p w14:paraId="3E5DDC9E" w14:textId="1C7D7154" w:rsidR="00E66B4E" w:rsidRPr="004679C3" w:rsidRDefault="001D48C7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37" w:name="lt_pId042"/>
      <w:r w:rsidRPr="004679C3">
        <w:rPr>
          <w:rFonts w:ascii="Arial" w:hAnsi="Arial" w:cs="Arial"/>
          <w:sz w:val="19"/>
          <w:szCs w:val="19"/>
          <w:lang w:val="fr-CA"/>
        </w:rPr>
        <w:t>Le client accepte que les services ne soient pas utilisés pour l’acheminement vers le réseau téléphonique public commuté (RTPC) d’un trafic local, régional ou interurbain découlant de services vendus en gros.</w:t>
      </w:r>
      <w:bookmarkEnd w:id="37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 </w:t>
      </w:r>
    </w:p>
    <w:p w14:paraId="31E5744A" w14:textId="77777777" w:rsidR="00E66B4E" w:rsidRPr="004679C3" w:rsidRDefault="00E66B4E" w:rsidP="006F47EA">
      <w:pPr>
        <w:pStyle w:val="ListParagraph"/>
        <w:jc w:val="both"/>
        <w:rPr>
          <w:rFonts w:ascii="Arial" w:hAnsi="Arial" w:cs="Arial"/>
          <w:sz w:val="19"/>
          <w:szCs w:val="19"/>
          <w:lang w:val="fr-CA"/>
        </w:rPr>
      </w:pPr>
    </w:p>
    <w:p w14:paraId="5ED72A7A" w14:textId="73C10BFB" w:rsidR="00F74C28" w:rsidRPr="004679C3" w:rsidRDefault="00664679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38" w:name="lt_pId043"/>
      <w:r w:rsidRPr="004679C3">
        <w:rPr>
          <w:rFonts w:ascii="Arial" w:hAnsi="Arial" w:cs="Arial"/>
          <w:sz w:val="19"/>
          <w:szCs w:val="19"/>
          <w:lang w:val="fr-CA"/>
        </w:rPr>
        <w:t>La politique en matière de fraude liée aux interurbains d’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Allstream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est publiée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sur le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site</w:t>
      </w:r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Allstream.com</w:t>
      </w:r>
      <w:bookmarkEnd w:id="38"/>
      <w:r w:rsidR="009614FD" w:rsidRPr="004679C3">
        <w:rPr>
          <w:rFonts w:ascii="Arial" w:hAnsi="Arial" w:cs="Arial"/>
          <w:sz w:val="19"/>
          <w:szCs w:val="19"/>
          <w:lang w:val="fr-CA"/>
        </w:rPr>
        <w:t>, dans les pages consacrées au soutien.</w:t>
      </w:r>
    </w:p>
    <w:p w14:paraId="7F856B93" w14:textId="77777777" w:rsidR="00F74C28" w:rsidRPr="004679C3" w:rsidRDefault="00F74C28" w:rsidP="006F47EA">
      <w:pPr>
        <w:pStyle w:val="ListParagraph"/>
        <w:jc w:val="both"/>
        <w:rPr>
          <w:rFonts w:ascii="Arial" w:hAnsi="Arial" w:cs="Arial"/>
          <w:sz w:val="19"/>
          <w:szCs w:val="19"/>
          <w:lang w:val="fr-CA"/>
        </w:rPr>
      </w:pPr>
    </w:p>
    <w:p w14:paraId="2C4A9D02" w14:textId="073F5F44" w:rsidR="00F74C28" w:rsidRPr="004679C3" w:rsidRDefault="00664679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lang w:val="fr-CA"/>
        </w:rPr>
      </w:pPr>
      <w:bookmarkStart w:id="39" w:name="lt_pId044"/>
      <w:r w:rsidRPr="004679C3">
        <w:rPr>
          <w:rFonts w:ascii="Arial" w:hAnsi="Arial" w:cs="Arial"/>
          <w:sz w:val="19"/>
          <w:szCs w:val="19"/>
          <w:lang w:val="fr-CA"/>
        </w:rPr>
        <w:t xml:space="preserve">L’utilisation automatisée au moyen de composeurs automatiques, de serveurs de télécopie ou d’autres </w:t>
      </w:r>
      <w:r w:rsidR="009614FD" w:rsidRPr="004679C3">
        <w:rPr>
          <w:rFonts w:ascii="Arial" w:hAnsi="Arial" w:cs="Arial"/>
          <w:sz w:val="19"/>
          <w:szCs w:val="19"/>
          <w:lang w:val="fr-CA"/>
        </w:rPr>
        <w:t>applications</w:t>
      </w:r>
      <w:r w:rsidRPr="004679C3">
        <w:rPr>
          <w:rFonts w:ascii="Arial" w:hAnsi="Arial" w:cs="Arial"/>
          <w:sz w:val="19"/>
          <w:szCs w:val="19"/>
          <w:lang w:val="fr-CA"/>
        </w:rPr>
        <w:t xml:space="preserve"> de ce type est interdite. </w:t>
      </w:r>
      <w:bookmarkStart w:id="40" w:name="lt_pId045"/>
      <w:bookmarkEnd w:id="39"/>
      <w:r w:rsidRPr="004679C3">
        <w:rPr>
          <w:rFonts w:ascii="Arial" w:hAnsi="Arial" w:cs="Arial"/>
          <w:sz w:val="19"/>
          <w:szCs w:val="19"/>
          <w:lang w:val="fr-CA"/>
        </w:rPr>
        <w:t xml:space="preserve">Les autres applications conçues pour traiter de forts volumes d’appels sont également interdites. </w:t>
      </w:r>
      <w:bookmarkEnd w:id="40"/>
      <w:r w:rsidR="000A2E79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5762500" w14:textId="77777777" w:rsidR="00F74C28" w:rsidRPr="004679C3" w:rsidRDefault="00F74C28" w:rsidP="006F47EA">
      <w:pPr>
        <w:pStyle w:val="ListParagraph"/>
        <w:jc w:val="both"/>
        <w:rPr>
          <w:rFonts w:ascii="Arial" w:hAnsi="Arial" w:cs="Arial"/>
          <w:b/>
          <w:sz w:val="19"/>
          <w:szCs w:val="19"/>
          <w:lang w:val="fr-CA"/>
        </w:rPr>
      </w:pPr>
    </w:p>
    <w:p w14:paraId="60AD9E3E" w14:textId="77777777" w:rsidR="002E3ADB" w:rsidRPr="004679C3" w:rsidRDefault="002E3ADB" w:rsidP="006F47EA">
      <w:pPr>
        <w:pStyle w:val="ListParagraph"/>
        <w:ind w:left="792"/>
        <w:jc w:val="both"/>
        <w:rPr>
          <w:rFonts w:ascii="Arial" w:hAnsi="Arial" w:cs="Arial"/>
          <w:sz w:val="19"/>
          <w:szCs w:val="19"/>
          <w:lang w:val="fr-CA"/>
        </w:rPr>
      </w:pPr>
      <w:bookmarkStart w:id="41" w:name="_Hlk97651932"/>
    </w:p>
    <w:p w14:paraId="02B4EA0F" w14:textId="1D377237" w:rsidR="00FB2125" w:rsidRPr="004679C3" w:rsidRDefault="00664679" w:rsidP="006F47E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sz w:val="19"/>
          <w:szCs w:val="19"/>
          <w:u w:val="single"/>
          <w:lang w:val="fr-CA"/>
        </w:rPr>
      </w:pPr>
      <w:bookmarkStart w:id="42" w:name="lt_pId046"/>
      <w:bookmarkStart w:id="43" w:name="_Hlk97652253"/>
      <w:r w:rsidRPr="004679C3">
        <w:rPr>
          <w:rFonts w:ascii="Arial" w:hAnsi="Arial" w:cs="Arial"/>
          <w:b/>
          <w:bCs/>
          <w:sz w:val="19"/>
          <w:szCs w:val="19"/>
          <w:u w:val="single"/>
          <w:lang w:val="fr-CA"/>
        </w:rPr>
        <w:t>Services de téléphoniste ou assistance-annuaire</w:t>
      </w:r>
      <w:bookmarkEnd w:id="42"/>
    </w:p>
    <w:p w14:paraId="627B69EB" w14:textId="77777777" w:rsidR="00FB2125" w:rsidRPr="004679C3" w:rsidRDefault="00FB2125" w:rsidP="006F47EA">
      <w:pPr>
        <w:pStyle w:val="ListParagraph"/>
        <w:ind w:left="360"/>
        <w:jc w:val="both"/>
        <w:rPr>
          <w:rFonts w:ascii="Arial" w:hAnsi="Arial" w:cs="Arial"/>
          <w:sz w:val="19"/>
          <w:szCs w:val="19"/>
          <w:u w:val="single"/>
          <w:lang w:val="fr-CA"/>
        </w:rPr>
      </w:pPr>
    </w:p>
    <w:p w14:paraId="5722CBB8" w14:textId="3D25C30C" w:rsidR="00DD28FD" w:rsidRPr="004679C3" w:rsidRDefault="00664679" w:rsidP="006F47EA">
      <w:pPr>
        <w:pStyle w:val="ListParagraph"/>
        <w:numPr>
          <w:ilvl w:val="1"/>
          <w:numId w:val="34"/>
        </w:numPr>
        <w:jc w:val="both"/>
        <w:rPr>
          <w:rFonts w:ascii="Arial" w:hAnsi="Arial" w:cs="Arial"/>
          <w:sz w:val="19"/>
          <w:szCs w:val="19"/>
          <w:u w:val="single"/>
          <w:lang w:val="fr-CA"/>
        </w:rPr>
      </w:pPr>
      <w:bookmarkStart w:id="44" w:name="lt_pId047"/>
      <w:r w:rsidRPr="004679C3">
        <w:rPr>
          <w:rFonts w:ascii="Arial" w:hAnsi="Arial" w:cs="Arial"/>
          <w:sz w:val="19"/>
          <w:szCs w:val="19"/>
          <w:lang w:val="fr-CA"/>
        </w:rPr>
        <w:t>Le client est responsable du paiement des frais de téléphoniste ou d’assistance-annuaire applicables.</w:t>
      </w:r>
      <w:bookmarkEnd w:id="44"/>
      <w:r w:rsidR="009614FD" w:rsidRPr="004679C3">
        <w:rPr>
          <w:rFonts w:ascii="Arial" w:hAnsi="Arial" w:cs="Arial"/>
          <w:sz w:val="19"/>
          <w:szCs w:val="19"/>
          <w:lang w:val="fr-CA"/>
        </w:rPr>
        <w:t xml:space="preserve"> </w:t>
      </w:r>
      <w:bookmarkStart w:id="45" w:name="lt_pId048"/>
      <w:bookmarkEnd w:id="41"/>
      <w:bookmarkEnd w:id="43"/>
      <w:r w:rsidR="00317491" w:rsidRPr="004679C3">
        <w:rPr>
          <w:rFonts w:ascii="Arial" w:hAnsi="Arial" w:cs="Arial"/>
          <w:sz w:val="19"/>
          <w:szCs w:val="19"/>
          <w:lang w:val="fr-CA"/>
        </w:rPr>
        <w:t>Allstream peut, à son entière discrétion, modifier les frais de téléphoniste ou d’assistance-annuaire établis en remettant à cet égard au client un préavis écrit de trente (30) jours.</w:t>
      </w:r>
      <w:bookmarkEnd w:id="45"/>
      <w:r w:rsidR="005A744A"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E65E309" w14:textId="023CBC89" w:rsidR="00AC7627" w:rsidRPr="004679C3" w:rsidRDefault="009614FD" w:rsidP="006F47EA">
      <w:pPr>
        <w:pStyle w:val="ListParagraph"/>
        <w:ind w:left="360"/>
        <w:jc w:val="both"/>
        <w:rPr>
          <w:rFonts w:ascii="Arial" w:hAnsi="Arial" w:cs="Arial"/>
          <w:sz w:val="19"/>
          <w:szCs w:val="19"/>
          <w:lang w:val="fr-CA"/>
        </w:rPr>
      </w:pPr>
      <w:r w:rsidRPr="004679C3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6F1983A5" w14:textId="40DC53C5" w:rsidR="006F47EA" w:rsidRPr="004679C3" w:rsidRDefault="006F47EA" w:rsidP="006F47EA">
      <w:pPr>
        <w:pStyle w:val="ListParagraph"/>
        <w:ind w:left="360"/>
        <w:jc w:val="both"/>
        <w:rPr>
          <w:rFonts w:ascii="Arial" w:hAnsi="Arial" w:cs="Arial"/>
          <w:sz w:val="19"/>
          <w:szCs w:val="19"/>
          <w:lang w:val="fr-CA"/>
        </w:rPr>
      </w:pPr>
    </w:p>
    <w:p w14:paraId="5F867CAA" w14:textId="77777777" w:rsidR="006F47EA" w:rsidRPr="004679C3" w:rsidRDefault="006F47EA" w:rsidP="00AC7627">
      <w:pPr>
        <w:pStyle w:val="ListParagraph"/>
        <w:ind w:left="360"/>
        <w:rPr>
          <w:rFonts w:ascii="Arial" w:hAnsi="Arial" w:cs="Arial"/>
          <w:sz w:val="19"/>
          <w:szCs w:val="19"/>
          <w:lang w:val="fr-CA"/>
        </w:rPr>
      </w:pPr>
    </w:p>
    <w:p w14:paraId="1E4E79E9" w14:textId="43A7A52E" w:rsidR="006F47EA" w:rsidRPr="004679C3" w:rsidRDefault="006F47EA" w:rsidP="00AC7627">
      <w:pPr>
        <w:pStyle w:val="ListParagraph"/>
        <w:ind w:left="360"/>
        <w:rPr>
          <w:rFonts w:ascii="Arial" w:hAnsi="Arial" w:cs="Arial"/>
          <w:sz w:val="19"/>
          <w:szCs w:val="19"/>
          <w:lang w:val="fr-CA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1002"/>
        <w:gridCol w:w="21"/>
        <w:gridCol w:w="3339"/>
        <w:gridCol w:w="90"/>
        <w:gridCol w:w="450"/>
        <w:gridCol w:w="90"/>
        <w:gridCol w:w="1050"/>
        <w:gridCol w:w="21"/>
        <w:gridCol w:w="3699"/>
        <w:gridCol w:w="90"/>
      </w:tblGrid>
      <w:tr w:rsidR="000558CF" w:rsidRPr="00DD48C6" w14:paraId="15E0E929" w14:textId="77777777" w:rsidTr="006F47EA">
        <w:trPr>
          <w:gridAfter w:val="1"/>
          <w:wAfter w:w="90" w:type="dxa"/>
        </w:trPr>
        <w:tc>
          <w:tcPr>
            <w:tcW w:w="4362" w:type="dxa"/>
            <w:gridSpan w:val="3"/>
          </w:tcPr>
          <w:p w14:paraId="5B6FA2DD" w14:textId="77777777" w:rsidR="006F47EA" w:rsidRPr="004679C3" w:rsidRDefault="009614FD" w:rsidP="001140BE">
            <w:pPr>
              <w:ind w:left="-15" w:hanging="105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  <w:bookmarkStart w:id="46" w:name="lt_pId049"/>
            <w:r w:rsidRPr="004679C3">
              <w:rPr>
                <w:rFonts w:ascii="Arial" w:hAnsi="Arial" w:cs="Arial"/>
                <w:b/>
                <w:sz w:val="20"/>
                <w:szCs w:val="20"/>
                <w:lang w:val="fr-CA"/>
              </w:rPr>
              <w:t>Allstream</w:t>
            </w:r>
            <w:bookmarkEnd w:id="46"/>
          </w:p>
        </w:tc>
        <w:tc>
          <w:tcPr>
            <w:tcW w:w="540" w:type="dxa"/>
            <w:gridSpan w:val="2"/>
          </w:tcPr>
          <w:p w14:paraId="64C7D412" w14:textId="77777777" w:rsidR="006F47EA" w:rsidRPr="004679C3" w:rsidRDefault="006F47EA" w:rsidP="001140BE">
            <w:pPr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611FA3EF" w14:textId="77777777" w:rsidR="006F47EA" w:rsidRPr="004679C3" w:rsidRDefault="00DD48C6" w:rsidP="001140BE">
            <w:pPr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fr-CA"/>
                </w:rPr>
                <w:id w:val="-305776088"/>
                <w:placeholder>
                  <w:docPart w:val="8C9F27AE1B0546E9BAFF5F7DACA2DA21"/>
                </w:placeholder>
              </w:sdtPr>
              <w:sdtEndPr/>
              <w:sdtContent>
                <w:bookmarkStart w:id="47" w:name="lt_pId050"/>
                <w:r w:rsidR="009614FD" w:rsidRPr="004679C3">
                  <w:rPr>
                    <w:rFonts w:ascii="Arial" w:hAnsi="Arial" w:cs="Arial"/>
                    <w:b/>
                    <w:caps/>
                    <w:sz w:val="20"/>
                    <w:szCs w:val="20"/>
                    <w:lang w:val="fr-CA"/>
                  </w:rPr>
                  <w:t>INSCRIRE LE NOM DU CLIENT ICI</w:t>
                </w:r>
                <w:bookmarkEnd w:id="47"/>
              </w:sdtContent>
            </w:sdt>
          </w:p>
        </w:tc>
      </w:tr>
      <w:tr w:rsidR="000558CF" w:rsidRPr="00DD48C6" w14:paraId="08CEF143" w14:textId="77777777" w:rsidTr="006F47EA">
        <w:tc>
          <w:tcPr>
            <w:tcW w:w="4452" w:type="dxa"/>
            <w:gridSpan w:val="4"/>
          </w:tcPr>
          <w:p w14:paraId="705D7B7F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4D579A6B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860" w:type="dxa"/>
            <w:gridSpan w:val="4"/>
          </w:tcPr>
          <w:p w14:paraId="34CBC846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6A22A919" w14:textId="77777777" w:rsidTr="006F47EA">
        <w:trPr>
          <w:gridAfter w:val="1"/>
          <w:wAfter w:w="90" w:type="dxa"/>
          <w:cantSplit/>
        </w:trPr>
        <w:tc>
          <w:tcPr>
            <w:tcW w:w="1023" w:type="dxa"/>
            <w:gridSpan w:val="2"/>
          </w:tcPr>
          <w:p w14:paraId="060A43ED" w14:textId="2948F272" w:rsidR="006F47EA" w:rsidRPr="004679C3" w:rsidRDefault="009614FD" w:rsidP="001140BE">
            <w:pPr>
              <w:ind w:hanging="105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48" w:name="lt_pId051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Signature</w:t>
            </w:r>
            <w:bookmarkEnd w:id="48"/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52DC917F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72C68A07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161" w:type="dxa"/>
            <w:gridSpan w:val="3"/>
          </w:tcPr>
          <w:p w14:paraId="45AA2707" w14:textId="4FC554E7" w:rsidR="006F47EA" w:rsidRPr="004679C3" w:rsidRDefault="009614FD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49" w:name="lt_pId052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 xml:space="preserve">Signature </w:t>
            </w:r>
            <w:bookmarkEnd w:id="49"/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2BA81461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57D32721" w14:textId="77777777" w:rsidTr="006F47EA">
        <w:trPr>
          <w:cantSplit/>
        </w:trPr>
        <w:tc>
          <w:tcPr>
            <w:tcW w:w="1002" w:type="dxa"/>
          </w:tcPr>
          <w:p w14:paraId="4EBE1872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6DBCAA9F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79EA9476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50" w:type="dxa"/>
          </w:tcPr>
          <w:p w14:paraId="374E7911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588740F0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7ED1CF7E" w14:textId="77777777" w:rsidTr="006F47EA">
        <w:trPr>
          <w:cantSplit/>
        </w:trPr>
        <w:tc>
          <w:tcPr>
            <w:tcW w:w="1002" w:type="dxa"/>
          </w:tcPr>
          <w:p w14:paraId="5A910510" w14:textId="55C70F98" w:rsidR="006F47EA" w:rsidRPr="004679C3" w:rsidRDefault="009614FD" w:rsidP="006F47EA">
            <w:pPr>
              <w:ind w:left="-109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0" w:name="lt_pId053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bookmarkEnd w:id="50"/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087C1C1F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1C4F748E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50" w:type="dxa"/>
          </w:tcPr>
          <w:p w14:paraId="2F373445" w14:textId="17440F0F" w:rsidR="006F47EA" w:rsidRPr="004679C3" w:rsidRDefault="009614FD" w:rsidP="006F47EA">
            <w:pPr>
              <w:ind w:left="-63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1" w:name="lt_pId054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Nom</w:t>
            </w:r>
            <w:bookmarkEnd w:id="51"/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73DCF5E2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3F135D4B" w14:textId="77777777" w:rsidTr="006F47EA">
        <w:trPr>
          <w:cantSplit/>
        </w:trPr>
        <w:tc>
          <w:tcPr>
            <w:tcW w:w="1002" w:type="dxa"/>
          </w:tcPr>
          <w:p w14:paraId="5212004B" w14:textId="77777777" w:rsidR="006F47EA" w:rsidRPr="004679C3" w:rsidRDefault="006F47EA" w:rsidP="006F47EA">
            <w:pPr>
              <w:ind w:left="-109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17A23044" w14:textId="50D0203E" w:rsidR="006F47EA" w:rsidRPr="004679C3" w:rsidRDefault="009614FD" w:rsidP="006F47EA">
            <w:pPr>
              <w:ind w:left="-109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2" w:name="lt_pId055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Titre</w:t>
            </w:r>
            <w:bookmarkEnd w:id="52"/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4224D36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72F8E668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50" w:type="dxa"/>
          </w:tcPr>
          <w:p w14:paraId="51AC2329" w14:textId="77777777" w:rsidR="006F47EA" w:rsidRPr="004679C3" w:rsidRDefault="006F47EA" w:rsidP="006F47EA">
            <w:pPr>
              <w:ind w:left="-63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3CDADA4" w14:textId="7A8BB500" w:rsidR="006F47EA" w:rsidRPr="004679C3" w:rsidRDefault="009614FD" w:rsidP="006F47EA">
            <w:pPr>
              <w:ind w:left="-63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3" w:name="lt_pId056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Titre</w:t>
            </w:r>
            <w:bookmarkEnd w:id="53"/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148B4CF0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5EEBBD7E" w14:textId="77777777" w:rsidTr="006F47EA">
        <w:trPr>
          <w:cantSplit/>
        </w:trPr>
        <w:tc>
          <w:tcPr>
            <w:tcW w:w="1002" w:type="dxa"/>
          </w:tcPr>
          <w:p w14:paraId="64EED25F" w14:textId="77777777" w:rsidR="006F47EA" w:rsidRPr="004679C3" w:rsidRDefault="006F47EA" w:rsidP="006F47EA">
            <w:pPr>
              <w:ind w:left="-109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50" w:type="dxa"/>
            <w:gridSpan w:val="3"/>
          </w:tcPr>
          <w:p w14:paraId="39097555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3AE70A28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050" w:type="dxa"/>
          </w:tcPr>
          <w:p w14:paraId="4C7D76EC" w14:textId="77777777" w:rsidR="006F47EA" w:rsidRPr="004679C3" w:rsidRDefault="006F47EA" w:rsidP="006F47EA">
            <w:pPr>
              <w:ind w:left="-63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810" w:type="dxa"/>
            <w:gridSpan w:val="3"/>
          </w:tcPr>
          <w:p w14:paraId="04482623" w14:textId="77777777" w:rsidR="006F47EA" w:rsidRPr="004679C3" w:rsidRDefault="006F47EA" w:rsidP="001140BE">
            <w:pPr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0558CF" w:rsidRPr="004679C3" w14:paraId="138A9779" w14:textId="77777777" w:rsidTr="006F47EA">
        <w:trPr>
          <w:cantSplit/>
        </w:trPr>
        <w:tc>
          <w:tcPr>
            <w:tcW w:w="1002" w:type="dxa"/>
          </w:tcPr>
          <w:p w14:paraId="14D16E22" w14:textId="78B6CB09" w:rsidR="006F47EA" w:rsidRPr="004679C3" w:rsidRDefault="009614FD" w:rsidP="006F47EA">
            <w:pPr>
              <w:ind w:left="-109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4" w:name="lt_pId057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Date</w:t>
            </w:r>
            <w:bookmarkEnd w:id="54"/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</w:tcPr>
          <w:p w14:paraId="417ABC48" w14:textId="77777777" w:rsidR="006F47EA" w:rsidRPr="004679C3" w:rsidRDefault="006F47EA" w:rsidP="001140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2"/>
          </w:tcPr>
          <w:p w14:paraId="1C95FD43" w14:textId="77777777" w:rsidR="006F47EA" w:rsidRPr="004679C3" w:rsidRDefault="006F47EA" w:rsidP="001140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1050" w:type="dxa"/>
          </w:tcPr>
          <w:p w14:paraId="4121A46B" w14:textId="05A9F40C" w:rsidR="006F47EA" w:rsidRPr="004679C3" w:rsidRDefault="009614FD" w:rsidP="006F47EA">
            <w:pPr>
              <w:ind w:left="-63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55" w:name="lt_pId058"/>
            <w:r w:rsidRPr="004679C3">
              <w:rPr>
                <w:rFonts w:ascii="Arial" w:hAnsi="Arial" w:cs="Arial"/>
                <w:sz w:val="20"/>
                <w:szCs w:val="20"/>
                <w:lang w:val="fr-CA"/>
              </w:rPr>
              <w:t>Date</w:t>
            </w:r>
            <w:bookmarkEnd w:id="55"/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</w:tcPr>
          <w:p w14:paraId="42AD75BC" w14:textId="77777777" w:rsidR="006F47EA" w:rsidRPr="004679C3" w:rsidRDefault="006F47EA" w:rsidP="001140B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</w:tr>
    </w:tbl>
    <w:p w14:paraId="11789EC5" w14:textId="77777777" w:rsidR="006F47EA" w:rsidRPr="004679C3" w:rsidRDefault="006F47EA" w:rsidP="00AC7627">
      <w:pPr>
        <w:pStyle w:val="ListParagraph"/>
        <w:ind w:left="360"/>
        <w:rPr>
          <w:rFonts w:ascii="Arial" w:hAnsi="Arial" w:cs="Arial"/>
          <w:sz w:val="19"/>
          <w:szCs w:val="19"/>
          <w:lang w:val="fr-CA"/>
        </w:rPr>
      </w:pPr>
    </w:p>
    <w:sectPr w:rsidR="006F47EA" w:rsidRPr="004679C3" w:rsidSect="008B21A5">
      <w:headerReference w:type="default" r:id="rId11"/>
      <w:footerReference w:type="default" r:id="rId12"/>
      <w:pgSz w:w="12240" w:h="15840"/>
      <w:pgMar w:top="450" w:right="720" w:bottom="1080" w:left="81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9EAA" w14:textId="77777777" w:rsidR="00697BC2" w:rsidRDefault="00697BC2">
      <w:r>
        <w:separator/>
      </w:r>
    </w:p>
  </w:endnote>
  <w:endnote w:type="continuationSeparator" w:id="0">
    <w:p w14:paraId="42ECF73F" w14:textId="77777777" w:rsidR="00697BC2" w:rsidRDefault="006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558CF" w:rsidRPr="009614FD" w14:paraId="37260A5B" w14:textId="77777777" w:rsidTr="4CB53E6A">
      <w:tc>
        <w:tcPr>
          <w:tcW w:w="3120" w:type="dxa"/>
        </w:tcPr>
        <w:p w14:paraId="4D0411DA" w14:textId="5581B25F" w:rsidR="4CB53E6A" w:rsidRPr="009614FD" w:rsidRDefault="4CB53E6A" w:rsidP="4CB53E6A">
          <w:pPr>
            <w:pStyle w:val="Header"/>
            <w:ind w:left="-115"/>
            <w:rPr>
              <w:lang w:val="fr-CA"/>
            </w:rPr>
          </w:pPr>
        </w:p>
      </w:tc>
      <w:tc>
        <w:tcPr>
          <w:tcW w:w="3120" w:type="dxa"/>
        </w:tcPr>
        <w:p w14:paraId="63479EB3" w14:textId="4C815182" w:rsidR="4CB53E6A" w:rsidRPr="009614FD" w:rsidRDefault="4CB53E6A" w:rsidP="4CB53E6A">
          <w:pPr>
            <w:pStyle w:val="Header"/>
            <w:jc w:val="center"/>
            <w:rPr>
              <w:lang w:val="fr-CA"/>
            </w:rPr>
          </w:pPr>
        </w:p>
      </w:tc>
      <w:tc>
        <w:tcPr>
          <w:tcW w:w="3120" w:type="dxa"/>
        </w:tcPr>
        <w:p w14:paraId="54C2CBB1" w14:textId="437B27AF" w:rsidR="4CB53E6A" w:rsidRPr="009614FD" w:rsidRDefault="4CB53E6A" w:rsidP="4CB53E6A">
          <w:pPr>
            <w:pStyle w:val="Header"/>
            <w:ind w:right="-115"/>
            <w:jc w:val="right"/>
            <w:rPr>
              <w:lang w:val="fr-CA"/>
            </w:rPr>
          </w:pPr>
        </w:p>
      </w:tc>
    </w:tr>
  </w:tbl>
  <w:p w14:paraId="11028F52" w14:textId="122172AF" w:rsidR="4CB53E6A" w:rsidRPr="009614FD" w:rsidRDefault="009614FD" w:rsidP="006F47EA">
    <w:pPr>
      <w:pStyle w:val="Footer"/>
      <w:ind w:left="-180"/>
      <w:rPr>
        <w:sz w:val="14"/>
        <w:szCs w:val="14"/>
        <w:lang w:val="fr-CA"/>
      </w:rPr>
    </w:pPr>
    <w:bookmarkStart w:id="56" w:name="lt_pId000"/>
    <w:r w:rsidRPr="009614FD">
      <w:rPr>
        <w:sz w:val="14"/>
        <w:szCs w:val="14"/>
        <w:lang w:val="fr-CA"/>
      </w:rPr>
      <w:t>Services d</w:t>
    </w:r>
    <w:r>
      <w:rPr>
        <w:sz w:val="14"/>
        <w:szCs w:val="14"/>
        <w:lang w:val="fr-CA"/>
      </w:rPr>
      <w:t>’</w:t>
    </w:r>
    <w:r w:rsidRPr="009614FD">
      <w:rPr>
        <w:sz w:val="14"/>
        <w:szCs w:val="14"/>
        <w:lang w:val="fr-CA"/>
      </w:rPr>
      <w:t>appels entrants et sortants Max 0</w:t>
    </w:r>
    <w:r w:rsidR="00F26F6E">
      <w:rPr>
        <w:sz w:val="14"/>
        <w:szCs w:val="14"/>
        <w:lang w:val="fr-CA"/>
      </w:rPr>
      <w:t>6</w:t>
    </w:r>
    <w:r w:rsidRPr="009614FD">
      <w:rPr>
        <w:sz w:val="14"/>
        <w:szCs w:val="14"/>
        <w:lang w:val="fr-CA"/>
      </w:rPr>
      <w:t>.2022</w:t>
    </w:r>
    <w:bookmarkEnd w:id="5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CCF9" w14:textId="77777777" w:rsidR="00697BC2" w:rsidRDefault="00697BC2">
      <w:r>
        <w:separator/>
      </w:r>
    </w:p>
  </w:footnote>
  <w:footnote w:type="continuationSeparator" w:id="0">
    <w:p w14:paraId="2CAF09D2" w14:textId="77777777" w:rsidR="00697BC2" w:rsidRDefault="0069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558CF" w14:paraId="2EE6A460" w14:textId="77777777" w:rsidTr="4CB53E6A">
      <w:tc>
        <w:tcPr>
          <w:tcW w:w="3120" w:type="dxa"/>
        </w:tcPr>
        <w:p w14:paraId="4C2E0357" w14:textId="7FE2123A" w:rsidR="4CB53E6A" w:rsidRDefault="4CB53E6A" w:rsidP="4CB53E6A">
          <w:pPr>
            <w:pStyle w:val="Header"/>
            <w:ind w:left="-115"/>
          </w:pPr>
        </w:p>
      </w:tc>
      <w:tc>
        <w:tcPr>
          <w:tcW w:w="3120" w:type="dxa"/>
        </w:tcPr>
        <w:p w14:paraId="6575AD97" w14:textId="5CA3ABD1" w:rsidR="4CB53E6A" w:rsidRDefault="4CB53E6A" w:rsidP="4CB53E6A">
          <w:pPr>
            <w:pStyle w:val="Header"/>
            <w:jc w:val="center"/>
          </w:pPr>
        </w:p>
      </w:tc>
      <w:tc>
        <w:tcPr>
          <w:tcW w:w="3120" w:type="dxa"/>
        </w:tcPr>
        <w:p w14:paraId="166FEA23" w14:textId="24CB12D3" w:rsidR="4CB53E6A" w:rsidRDefault="4CB53E6A" w:rsidP="4CB53E6A">
          <w:pPr>
            <w:pStyle w:val="Header"/>
            <w:ind w:right="-115"/>
            <w:jc w:val="right"/>
          </w:pPr>
        </w:p>
      </w:tc>
    </w:tr>
  </w:tbl>
  <w:p w14:paraId="56D8FCE2" w14:textId="0D915AB1" w:rsidR="4CB53E6A" w:rsidRDefault="4CB53E6A" w:rsidP="4CB53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6241CA"/>
    <w:multiLevelType w:val="multilevel"/>
    <w:tmpl w:val="683C2F5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97E5579"/>
    <w:multiLevelType w:val="hybridMultilevel"/>
    <w:tmpl w:val="964ED514"/>
    <w:lvl w:ilvl="0" w:tplc="288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0602E" w:tentative="1">
      <w:start w:val="1"/>
      <w:numFmt w:val="lowerLetter"/>
      <w:lvlText w:val="%2."/>
      <w:lvlJc w:val="left"/>
      <w:pPr>
        <w:ind w:left="1440" w:hanging="360"/>
      </w:pPr>
    </w:lvl>
    <w:lvl w:ilvl="2" w:tplc="3726FBD4" w:tentative="1">
      <w:start w:val="1"/>
      <w:numFmt w:val="lowerRoman"/>
      <w:lvlText w:val="%3."/>
      <w:lvlJc w:val="right"/>
      <w:pPr>
        <w:ind w:left="2160" w:hanging="180"/>
      </w:pPr>
    </w:lvl>
    <w:lvl w:ilvl="3" w:tplc="856E639E" w:tentative="1">
      <w:start w:val="1"/>
      <w:numFmt w:val="decimal"/>
      <w:lvlText w:val="%4."/>
      <w:lvlJc w:val="left"/>
      <w:pPr>
        <w:ind w:left="2880" w:hanging="360"/>
      </w:pPr>
    </w:lvl>
    <w:lvl w:ilvl="4" w:tplc="14A20C0E" w:tentative="1">
      <w:start w:val="1"/>
      <w:numFmt w:val="lowerLetter"/>
      <w:lvlText w:val="%5."/>
      <w:lvlJc w:val="left"/>
      <w:pPr>
        <w:ind w:left="3600" w:hanging="360"/>
      </w:pPr>
    </w:lvl>
    <w:lvl w:ilvl="5" w:tplc="DE5E62E8" w:tentative="1">
      <w:start w:val="1"/>
      <w:numFmt w:val="lowerRoman"/>
      <w:lvlText w:val="%6."/>
      <w:lvlJc w:val="right"/>
      <w:pPr>
        <w:ind w:left="4320" w:hanging="180"/>
      </w:pPr>
    </w:lvl>
    <w:lvl w:ilvl="6" w:tplc="CAB64110" w:tentative="1">
      <w:start w:val="1"/>
      <w:numFmt w:val="decimal"/>
      <w:lvlText w:val="%7."/>
      <w:lvlJc w:val="left"/>
      <w:pPr>
        <w:ind w:left="5040" w:hanging="360"/>
      </w:pPr>
    </w:lvl>
    <w:lvl w:ilvl="7" w:tplc="8AD484DC" w:tentative="1">
      <w:start w:val="1"/>
      <w:numFmt w:val="lowerLetter"/>
      <w:lvlText w:val="%8."/>
      <w:lvlJc w:val="left"/>
      <w:pPr>
        <w:ind w:left="5760" w:hanging="360"/>
      </w:pPr>
    </w:lvl>
    <w:lvl w:ilvl="8" w:tplc="7F7AD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266CFA"/>
    <w:multiLevelType w:val="multilevel"/>
    <w:tmpl w:val="2280E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E54530"/>
    <w:multiLevelType w:val="multilevel"/>
    <w:tmpl w:val="2F1A3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325DBF"/>
    <w:multiLevelType w:val="multilevel"/>
    <w:tmpl w:val="7302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EE46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28B66D5"/>
    <w:multiLevelType w:val="multilevel"/>
    <w:tmpl w:val="60089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B5E6601"/>
    <w:multiLevelType w:val="hybridMultilevel"/>
    <w:tmpl w:val="FC8415E0"/>
    <w:lvl w:ilvl="0" w:tplc="E390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E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86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09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8E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87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03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5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4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3006F"/>
    <w:multiLevelType w:val="hybridMultilevel"/>
    <w:tmpl w:val="8424D2EC"/>
    <w:lvl w:ilvl="0" w:tplc="F4E0BC2A">
      <w:start w:val="1"/>
      <w:numFmt w:val="decimal"/>
      <w:lvlText w:val="%1."/>
      <w:lvlJc w:val="left"/>
      <w:pPr>
        <w:ind w:left="720" w:hanging="360"/>
      </w:pPr>
    </w:lvl>
    <w:lvl w:ilvl="1" w:tplc="2A045A5E" w:tentative="1">
      <w:start w:val="1"/>
      <w:numFmt w:val="lowerLetter"/>
      <w:lvlText w:val="%2."/>
      <w:lvlJc w:val="left"/>
      <w:pPr>
        <w:ind w:left="1440" w:hanging="360"/>
      </w:pPr>
    </w:lvl>
    <w:lvl w:ilvl="2" w:tplc="31AE5408" w:tentative="1">
      <w:start w:val="1"/>
      <w:numFmt w:val="lowerRoman"/>
      <w:lvlText w:val="%3."/>
      <w:lvlJc w:val="right"/>
      <w:pPr>
        <w:ind w:left="2160" w:hanging="180"/>
      </w:pPr>
    </w:lvl>
    <w:lvl w:ilvl="3" w:tplc="26560110" w:tentative="1">
      <w:start w:val="1"/>
      <w:numFmt w:val="decimal"/>
      <w:lvlText w:val="%4."/>
      <w:lvlJc w:val="left"/>
      <w:pPr>
        <w:ind w:left="2880" w:hanging="360"/>
      </w:pPr>
    </w:lvl>
    <w:lvl w:ilvl="4" w:tplc="06C63282" w:tentative="1">
      <w:start w:val="1"/>
      <w:numFmt w:val="lowerLetter"/>
      <w:lvlText w:val="%5."/>
      <w:lvlJc w:val="left"/>
      <w:pPr>
        <w:ind w:left="3600" w:hanging="360"/>
      </w:pPr>
    </w:lvl>
    <w:lvl w:ilvl="5" w:tplc="35347734" w:tentative="1">
      <w:start w:val="1"/>
      <w:numFmt w:val="lowerRoman"/>
      <w:lvlText w:val="%6."/>
      <w:lvlJc w:val="right"/>
      <w:pPr>
        <w:ind w:left="4320" w:hanging="180"/>
      </w:pPr>
    </w:lvl>
    <w:lvl w:ilvl="6" w:tplc="7194AEF8" w:tentative="1">
      <w:start w:val="1"/>
      <w:numFmt w:val="decimal"/>
      <w:lvlText w:val="%7."/>
      <w:lvlJc w:val="left"/>
      <w:pPr>
        <w:ind w:left="5040" w:hanging="360"/>
      </w:pPr>
    </w:lvl>
    <w:lvl w:ilvl="7" w:tplc="D1484AFE" w:tentative="1">
      <w:start w:val="1"/>
      <w:numFmt w:val="lowerLetter"/>
      <w:lvlText w:val="%8."/>
      <w:lvlJc w:val="left"/>
      <w:pPr>
        <w:ind w:left="5760" w:hanging="360"/>
      </w:pPr>
    </w:lvl>
    <w:lvl w:ilvl="8" w:tplc="65DE9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2117715"/>
    <w:multiLevelType w:val="hybridMultilevel"/>
    <w:tmpl w:val="6FF6B172"/>
    <w:lvl w:ilvl="0" w:tplc="0BA8A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28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29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6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6B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0F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CD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22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48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C23427"/>
    <w:multiLevelType w:val="multilevel"/>
    <w:tmpl w:val="17A6A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890415"/>
    <w:multiLevelType w:val="hybridMultilevel"/>
    <w:tmpl w:val="82C2C18A"/>
    <w:lvl w:ilvl="0" w:tplc="6D3AD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9C7636" w:tentative="1">
      <w:start w:val="1"/>
      <w:numFmt w:val="lowerLetter"/>
      <w:lvlText w:val="%2."/>
      <w:lvlJc w:val="left"/>
      <w:pPr>
        <w:ind w:left="1440" w:hanging="360"/>
      </w:pPr>
    </w:lvl>
    <w:lvl w:ilvl="2" w:tplc="9846194A" w:tentative="1">
      <w:start w:val="1"/>
      <w:numFmt w:val="lowerRoman"/>
      <w:lvlText w:val="%3."/>
      <w:lvlJc w:val="right"/>
      <w:pPr>
        <w:ind w:left="2160" w:hanging="180"/>
      </w:pPr>
    </w:lvl>
    <w:lvl w:ilvl="3" w:tplc="9BCA2350" w:tentative="1">
      <w:start w:val="1"/>
      <w:numFmt w:val="decimal"/>
      <w:lvlText w:val="%4."/>
      <w:lvlJc w:val="left"/>
      <w:pPr>
        <w:ind w:left="2880" w:hanging="360"/>
      </w:pPr>
    </w:lvl>
    <w:lvl w:ilvl="4" w:tplc="1836400A" w:tentative="1">
      <w:start w:val="1"/>
      <w:numFmt w:val="lowerLetter"/>
      <w:lvlText w:val="%5."/>
      <w:lvlJc w:val="left"/>
      <w:pPr>
        <w:ind w:left="3600" w:hanging="360"/>
      </w:pPr>
    </w:lvl>
    <w:lvl w:ilvl="5" w:tplc="285474D0" w:tentative="1">
      <w:start w:val="1"/>
      <w:numFmt w:val="lowerRoman"/>
      <w:lvlText w:val="%6."/>
      <w:lvlJc w:val="right"/>
      <w:pPr>
        <w:ind w:left="4320" w:hanging="180"/>
      </w:pPr>
    </w:lvl>
    <w:lvl w:ilvl="6" w:tplc="A98E40F2" w:tentative="1">
      <w:start w:val="1"/>
      <w:numFmt w:val="decimal"/>
      <w:lvlText w:val="%7."/>
      <w:lvlJc w:val="left"/>
      <w:pPr>
        <w:ind w:left="5040" w:hanging="360"/>
      </w:pPr>
    </w:lvl>
    <w:lvl w:ilvl="7" w:tplc="11DA34EA" w:tentative="1">
      <w:start w:val="1"/>
      <w:numFmt w:val="lowerLetter"/>
      <w:lvlText w:val="%8."/>
      <w:lvlJc w:val="left"/>
      <w:pPr>
        <w:ind w:left="5760" w:hanging="360"/>
      </w:pPr>
    </w:lvl>
    <w:lvl w:ilvl="8" w:tplc="781C4F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31"/>
  </w:num>
  <w:num w:numId="5">
    <w:abstractNumId w:val="16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9"/>
  </w:num>
  <w:num w:numId="21">
    <w:abstractNumId w:val="23"/>
  </w:num>
  <w:num w:numId="22">
    <w:abstractNumId w:val="11"/>
  </w:num>
  <w:num w:numId="23">
    <w:abstractNumId w:val="33"/>
  </w:num>
  <w:num w:numId="24">
    <w:abstractNumId w:val="30"/>
  </w:num>
  <w:num w:numId="25">
    <w:abstractNumId w:val="27"/>
  </w:num>
  <w:num w:numId="26">
    <w:abstractNumId w:val="19"/>
  </w:num>
  <w:num w:numId="27">
    <w:abstractNumId w:val="32"/>
  </w:num>
  <w:num w:numId="28">
    <w:abstractNumId w:val="34"/>
  </w:num>
  <w:num w:numId="29">
    <w:abstractNumId w:val="25"/>
  </w:num>
  <w:num w:numId="30">
    <w:abstractNumId w:val="28"/>
  </w:num>
  <w:num w:numId="31">
    <w:abstractNumId w:val="15"/>
  </w:num>
  <w:num w:numId="32">
    <w:abstractNumId w:val="12"/>
  </w:num>
  <w:num w:numId="33">
    <w:abstractNumId w:val="13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Gf4nKY+q/y/BO8fUNEOwOwQhmdkzCwaYMU+DEAV/OmTxe8TcK2UjZYUWUoPlNrbsFnxVEBJPbXCAgNTc/vp/A==" w:salt="p535+A+T/BMIdtCes3l5b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5"/>
    <w:rsid w:val="000003AA"/>
    <w:rsid w:val="000073BA"/>
    <w:rsid w:val="00014B71"/>
    <w:rsid w:val="00014BD9"/>
    <w:rsid w:val="000160F9"/>
    <w:rsid w:val="000222D7"/>
    <w:rsid w:val="00027A30"/>
    <w:rsid w:val="0003536A"/>
    <w:rsid w:val="000376F7"/>
    <w:rsid w:val="000400D2"/>
    <w:rsid w:val="00040424"/>
    <w:rsid w:val="000407B6"/>
    <w:rsid w:val="000548DD"/>
    <w:rsid w:val="000558CF"/>
    <w:rsid w:val="000612B5"/>
    <w:rsid w:val="00067B69"/>
    <w:rsid w:val="00071028"/>
    <w:rsid w:val="00073D11"/>
    <w:rsid w:val="00075893"/>
    <w:rsid w:val="00077E27"/>
    <w:rsid w:val="00080107"/>
    <w:rsid w:val="0008247D"/>
    <w:rsid w:val="00083318"/>
    <w:rsid w:val="00087207"/>
    <w:rsid w:val="000930A2"/>
    <w:rsid w:val="00094A82"/>
    <w:rsid w:val="000973BA"/>
    <w:rsid w:val="000A2E79"/>
    <w:rsid w:val="000A51FD"/>
    <w:rsid w:val="000B0DF7"/>
    <w:rsid w:val="000B22DB"/>
    <w:rsid w:val="000C130D"/>
    <w:rsid w:val="000C14E3"/>
    <w:rsid w:val="000C1F87"/>
    <w:rsid w:val="000C54C5"/>
    <w:rsid w:val="000C7AEF"/>
    <w:rsid w:val="000D65BD"/>
    <w:rsid w:val="000D7AC1"/>
    <w:rsid w:val="000E409D"/>
    <w:rsid w:val="000E7CBB"/>
    <w:rsid w:val="000F4E38"/>
    <w:rsid w:val="000F5CAD"/>
    <w:rsid w:val="00102609"/>
    <w:rsid w:val="00102FF8"/>
    <w:rsid w:val="001046E6"/>
    <w:rsid w:val="001068E6"/>
    <w:rsid w:val="001070E6"/>
    <w:rsid w:val="00113B95"/>
    <w:rsid w:val="001140BE"/>
    <w:rsid w:val="00114936"/>
    <w:rsid w:val="00122937"/>
    <w:rsid w:val="0012491C"/>
    <w:rsid w:val="001254E5"/>
    <w:rsid w:val="00136815"/>
    <w:rsid w:val="001448C5"/>
    <w:rsid w:val="00153F91"/>
    <w:rsid w:val="0016059A"/>
    <w:rsid w:val="0016293F"/>
    <w:rsid w:val="001751A3"/>
    <w:rsid w:val="0019206D"/>
    <w:rsid w:val="00197020"/>
    <w:rsid w:val="001A6D98"/>
    <w:rsid w:val="001B36B0"/>
    <w:rsid w:val="001B5372"/>
    <w:rsid w:val="001B6F62"/>
    <w:rsid w:val="001D48C7"/>
    <w:rsid w:val="001E56D0"/>
    <w:rsid w:val="001F351F"/>
    <w:rsid w:val="00202D46"/>
    <w:rsid w:val="00207E8A"/>
    <w:rsid w:val="002111DC"/>
    <w:rsid w:val="002213AB"/>
    <w:rsid w:val="00223637"/>
    <w:rsid w:val="00230202"/>
    <w:rsid w:val="00233D21"/>
    <w:rsid w:val="002355CB"/>
    <w:rsid w:val="002358C8"/>
    <w:rsid w:val="002453BC"/>
    <w:rsid w:val="00246792"/>
    <w:rsid w:val="00251DB0"/>
    <w:rsid w:val="002700AA"/>
    <w:rsid w:val="00273F96"/>
    <w:rsid w:val="00284954"/>
    <w:rsid w:val="0029074F"/>
    <w:rsid w:val="002909BA"/>
    <w:rsid w:val="00291669"/>
    <w:rsid w:val="0029521F"/>
    <w:rsid w:val="00296170"/>
    <w:rsid w:val="00296694"/>
    <w:rsid w:val="00296C57"/>
    <w:rsid w:val="00297349"/>
    <w:rsid w:val="002A21C7"/>
    <w:rsid w:val="002A2C94"/>
    <w:rsid w:val="002A7D75"/>
    <w:rsid w:val="002B290E"/>
    <w:rsid w:val="002B7078"/>
    <w:rsid w:val="002C1D0C"/>
    <w:rsid w:val="002C236F"/>
    <w:rsid w:val="002C27DA"/>
    <w:rsid w:val="002C388F"/>
    <w:rsid w:val="002D3E1A"/>
    <w:rsid w:val="002D3F13"/>
    <w:rsid w:val="002E0B3E"/>
    <w:rsid w:val="002E3ADB"/>
    <w:rsid w:val="003014BF"/>
    <w:rsid w:val="00302382"/>
    <w:rsid w:val="0030507B"/>
    <w:rsid w:val="00305157"/>
    <w:rsid w:val="00315D69"/>
    <w:rsid w:val="00317491"/>
    <w:rsid w:val="00323BF8"/>
    <w:rsid w:val="00324640"/>
    <w:rsid w:val="0032673A"/>
    <w:rsid w:val="003346F7"/>
    <w:rsid w:val="00335F17"/>
    <w:rsid w:val="00342F24"/>
    <w:rsid w:val="00343458"/>
    <w:rsid w:val="003436F4"/>
    <w:rsid w:val="00350FE1"/>
    <w:rsid w:val="003532CF"/>
    <w:rsid w:val="0035377D"/>
    <w:rsid w:val="003619DA"/>
    <w:rsid w:val="00364968"/>
    <w:rsid w:val="003666D5"/>
    <w:rsid w:val="00366CCB"/>
    <w:rsid w:val="0037009A"/>
    <w:rsid w:val="00376EC0"/>
    <w:rsid w:val="0038068A"/>
    <w:rsid w:val="003819C8"/>
    <w:rsid w:val="00381C3B"/>
    <w:rsid w:val="0038261C"/>
    <w:rsid w:val="003844E6"/>
    <w:rsid w:val="00386B12"/>
    <w:rsid w:val="003951F2"/>
    <w:rsid w:val="00396D45"/>
    <w:rsid w:val="003A101D"/>
    <w:rsid w:val="003B1C75"/>
    <w:rsid w:val="003B26A0"/>
    <w:rsid w:val="003B2A6C"/>
    <w:rsid w:val="003B568A"/>
    <w:rsid w:val="003C2B4D"/>
    <w:rsid w:val="003C43C1"/>
    <w:rsid w:val="003E5006"/>
    <w:rsid w:val="003E69EC"/>
    <w:rsid w:val="003F0525"/>
    <w:rsid w:val="003F5CFD"/>
    <w:rsid w:val="00403F1B"/>
    <w:rsid w:val="00423867"/>
    <w:rsid w:val="00425E3C"/>
    <w:rsid w:val="004304DC"/>
    <w:rsid w:val="004337E6"/>
    <w:rsid w:val="004344BE"/>
    <w:rsid w:val="00445347"/>
    <w:rsid w:val="00445610"/>
    <w:rsid w:val="004464B8"/>
    <w:rsid w:val="004528D1"/>
    <w:rsid w:val="004552BD"/>
    <w:rsid w:val="00457512"/>
    <w:rsid w:val="00463498"/>
    <w:rsid w:val="00463574"/>
    <w:rsid w:val="00466140"/>
    <w:rsid w:val="00467989"/>
    <w:rsid w:val="004679C3"/>
    <w:rsid w:val="0047213A"/>
    <w:rsid w:val="004742AA"/>
    <w:rsid w:val="004832C5"/>
    <w:rsid w:val="00485D4F"/>
    <w:rsid w:val="004A300F"/>
    <w:rsid w:val="004A4A06"/>
    <w:rsid w:val="004B2479"/>
    <w:rsid w:val="004C3150"/>
    <w:rsid w:val="004C4836"/>
    <w:rsid w:val="004D05EE"/>
    <w:rsid w:val="004D2191"/>
    <w:rsid w:val="004E4197"/>
    <w:rsid w:val="004E6750"/>
    <w:rsid w:val="004F138E"/>
    <w:rsid w:val="004F173E"/>
    <w:rsid w:val="004F3BEB"/>
    <w:rsid w:val="004F4806"/>
    <w:rsid w:val="004F71FD"/>
    <w:rsid w:val="00502A68"/>
    <w:rsid w:val="005048BD"/>
    <w:rsid w:val="00505DB4"/>
    <w:rsid w:val="005070FD"/>
    <w:rsid w:val="00512423"/>
    <w:rsid w:val="00512450"/>
    <w:rsid w:val="005223C5"/>
    <w:rsid w:val="00523E6B"/>
    <w:rsid w:val="005254EE"/>
    <w:rsid w:val="00531F19"/>
    <w:rsid w:val="00532C60"/>
    <w:rsid w:val="00533A6E"/>
    <w:rsid w:val="00543A3C"/>
    <w:rsid w:val="00545AA8"/>
    <w:rsid w:val="0055169D"/>
    <w:rsid w:val="005540C7"/>
    <w:rsid w:val="005606B5"/>
    <w:rsid w:val="00561139"/>
    <w:rsid w:val="00566FDB"/>
    <w:rsid w:val="00567FC9"/>
    <w:rsid w:val="0057390E"/>
    <w:rsid w:val="0057499C"/>
    <w:rsid w:val="005763B1"/>
    <w:rsid w:val="005905D3"/>
    <w:rsid w:val="00591E10"/>
    <w:rsid w:val="005A047D"/>
    <w:rsid w:val="005A36BF"/>
    <w:rsid w:val="005A744A"/>
    <w:rsid w:val="005C109C"/>
    <w:rsid w:val="005C6096"/>
    <w:rsid w:val="005D038F"/>
    <w:rsid w:val="005D0542"/>
    <w:rsid w:val="005D09D0"/>
    <w:rsid w:val="005D3DB6"/>
    <w:rsid w:val="005E4339"/>
    <w:rsid w:val="005F33D5"/>
    <w:rsid w:val="005F3A05"/>
    <w:rsid w:val="005F5B30"/>
    <w:rsid w:val="00602EF4"/>
    <w:rsid w:val="00604C6F"/>
    <w:rsid w:val="0060703B"/>
    <w:rsid w:val="00607309"/>
    <w:rsid w:val="006229B5"/>
    <w:rsid w:val="00624D81"/>
    <w:rsid w:val="006428C8"/>
    <w:rsid w:val="00645252"/>
    <w:rsid w:val="00650481"/>
    <w:rsid w:val="0065207A"/>
    <w:rsid w:val="00652137"/>
    <w:rsid w:val="00656C40"/>
    <w:rsid w:val="00664679"/>
    <w:rsid w:val="0067391B"/>
    <w:rsid w:val="0067470C"/>
    <w:rsid w:val="006800C8"/>
    <w:rsid w:val="0068508C"/>
    <w:rsid w:val="006907C7"/>
    <w:rsid w:val="00691801"/>
    <w:rsid w:val="00694B8F"/>
    <w:rsid w:val="00697BC2"/>
    <w:rsid w:val="006A2511"/>
    <w:rsid w:val="006A5F6B"/>
    <w:rsid w:val="006A711C"/>
    <w:rsid w:val="006B68E0"/>
    <w:rsid w:val="006C7926"/>
    <w:rsid w:val="006D3D74"/>
    <w:rsid w:val="006D7C7D"/>
    <w:rsid w:val="006E3AEE"/>
    <w:rsid w:val="006E7D4A"/>
    <w:rsid w:val="006F37CC"/>
    <w:rsid w:val="006F47EA"/>
    <w:rsid w:val="006F54F5"/>
    <w:rsid w:val="006F6D5E"/>
    <w:rsid w:val="006F7102"/>
    <w:rsid w:val="00700D6D"/>
    <w:rsid w:val="00707B45"/>
    <w:rsid w:val="00711105"/>
    <w:rsid w:val="007136A3"/>
    <w:rsid w:val="00713FF9"/>
    <w:rsid w:val="00716F2C"/>
    <w:rsid w:val="00724E36"/>
    <w:rsid w:val="007250AF"/>
    <w:rsid w:val="007267FB"/>
    <w:rsid w:val="00731D03"/>
    <w:rsid w:val="00733B9D"/>
    <w:rsid w:val="0074040A"/>
    <w:rsid w:val="0074242F"/>
    <w:rsid w:val="00743E03"/>
    <w:rsid w:val="00744194"/>
    <w:rsid w:val="00750598"/>
    <w:rsid w:val="0075792F"/>
    <w:rsid w:val="00762285"/>
    <w:rsid w:val="00770CB9"/>
    <w:rsid w:val="00772D89"/>
    <w:rsid w:val="0077395F"/>
    <w:rsid w:val="00777968"/>
    <w:rsid w:val="00782981"/>
    <w:rsid w:val="00783EE4"/>
    <w:rsid w:val="00784AC5"/>
    <w:rsid w:val="00796735"/>
    <w:rsid w:val="007A187D"/>
    <w:rsid w:val="007B2E13"/>
    <w:rsid w:val="007B43FF"/>
    <w:rsid w:val="007B4AA2"/>
    <w:rsid w:val="007C41D9"/>
    <w:rsid w:val="007C5B45"/>
    <w:rsid w:val="007C68FF"/>
    <w:rsid w:val="007D25AE"/>
    <w:rsid w:val="007D4654"/>
    <w:rsid w:val="007E5663"/>
    <w:rsid w:val="007F3BE6"/>
    <w:rsid w:val="008000E9"/>
    <w:rsid w:val="00806E4D"/>
    <w:rsid w:val="00807693"/>
    <w:rsid w:val="00811935"/>
    <w:rsid w:val="00812A0D"/>
    <w:rsid w:val="00821F29"/>
    <w:rsid w:val="0083278B"/>
    <w:rsid w:val="008341D0"/>
    <w:rsid w:val="0083569A"/>
    <w:rsid w:val="00836EF8"/>
    <w:rsid w:val="00837762"/>
    <w:rsid w:val="0084027A"/>
    <w:rsid w:val="008402EA"/>
    <w:rsid w:val="00840B70"/>
    <w:rsid w:val="00840F14"/>
    <w:rsid w:val="00841117"/>
    <w:rsid w:val="00845740"/>
    <w:rsid w:val="008503B6"/>
    <w:rsid w:val="00850A33"/>
    <w:rsid w:val="00851A49"/>
    <w:rsid w:val="00852BC3"/>
    <w:rsid w:val="0085576F"/>
    <w:rsid w:val="00872025"/>
    <w:rsid w:val="00872A42"/>
    <w:rsid w:val="00890778"/>
    <w:rsid w:val="008A10AF"/>
    <w:rsid w:val="008A48FC"/>
    <w:rsid w:val="008B21A5"/>
    <w:rsid w:val="008C5A9C"/>
    <w:rsid w:val="008C77DE"/>
    <w:rsid w:val="008E24FB"/>
    <w:rsid w:val="008E3988"/>
    <w:rsid w:val="008E49D2"/>
    <w:rsid w:val="008E56F3"/>
    <w:rsid w:val="008F5A89"/>
    <w:rsid w:val="00901CE2"/>
    <w:rsid w:val="00901D29"/>
    <w:rsid w:val="00901D85"/>
    <w:rsid w:val="0090345A"/>
    <w:rsid w:val="009232A2"/>
    <w:rsid w:val="00941EF8"/>
    <w:rsid w:val="00942986"/>
    <w:rsid w:val="009429D6"/>
    <w:rsid w:val="009506B7"/>
    <w:rsid w:val="009546C6"/>
    <w:rsid w:val="00960CA9"/>
    <w:rsid w:val="009614FD"/>
    <w:rsid w:val="00961796"/>
    <w:rsid w:val="00962D06"/>
    <w:rsid w:val="009669A6"/>
    <w:rsid w:val="00970E38"/>
    <w:rsid w:val="00971FBD"/>
    <w:rsid w:val="00973859"/>
    <w:rsid w:val="0097700B"/>
    <w:rsid w:val="0098080B"/>
    <w:rsid w:val="009835F8"/>
    <w:rsid w:val="00987A80"/>
    <w:rsid w:val="00990494"/>
    <w:rsid w:val="0099344C"/>
    <w:rsid w:val="00993605"/>
    <w:rsid w:val="009950B4"/>
    <w:rsid w:val="009A419F"/>
    <w:rsid w:val="009B40F4"/>
    <w:rsid w:val="009B59A9"/>
    <w:rsid w:val="009B6E9A"/>
    <w:rsid w:val="009C1909"/>
    <w:rsid w:val="009C2C90"/>
    <w:rsid w:val="009C5798"/>
    <w:rsid w:val="009C5BC8"/>
    <w:rsid w:val="009D0B17"/>
    <w:rsid w:val="009D7A43"/>
    <w:rsid w:val="009E3760"/>
    <w:rsid w:val="009F1447"/>
    <w:rsid w:val="009F6213"/>
    <w:rsid w:val="00A057B6"/>
    <w:rsid w:val="00A1166E"/>
    <w:rsid w:val="00A1476F"/>
    <w:rsid w:val="00A17419"/>
    <w:rsid w:val="00A26008"/>
    <w:rsid w:val="00A30EB3"/>
    <w:rsid w:val="00A32E53"/>
    <w:rsid w:val="00A40A31"/>
    <w:rsid w:val="00A40CCA"/>
    <w:rsid w:val="00A41CA1"/>
    <w:rsid w:val="00A41F63"/>
    <w:rsid w:val="00A42705"/>
    <w:rsid w:val="00A45000"/>
    <w:rsid w:val="00A509E7"/>
    <w:rsid w:val="00A53461"/>
    <w:rsid w:val="00A5798D"/>
    <w:rsid w:val="00A67426"/>
    <w:rsid w:val="00A74DE9"/>
    <w:rsid w:val="00A75CBF"/>
    <w:rsid w:val="00A82F40"/>
    <w:rsid w:val="00A8469A"/>
    <w:rsid w:val="00A85727"/>
    <w:rsid w:val="00A87992"/>
    <w:rsid w:val="00A9030E"/>
    <w:rsid w:val="00A9204E"/>
    <w:rsid w:val="00AA0596"/>
    <w:rsid w:val="00AA4CCE"/>
    <w:rsid w:val="00AB0438"/>
    <w:rsid w:val="00AC1E41"/>
    <w:rsid w:val="00AC2515"/>
    <w:rsid w:val="00AC6E67"/>
    <w:rsid w:val="00AC7627"/>
    <w:rsid w:val="00AD3595"/>
    <w:rsid w:val="00AD7FEC"/>
    <w:rsid w:val="00AE01D4"/>
    <w:rsid w:val="00AE0A07"/>
    <w:rsid w:val="00AE1139"/>
    <w:rsid w:val="00AE1D55"/>
    <w:rsid w:val="00B05028"/>
    <w:rsid w:val="00B1163F"/>
    <w:rsid w:val="00B11758"/>
    <w:rsid w:val="00B14176"/>
    <w:rsid w:val="00B25228"/>
    <w:rsid w:val="00B27520"/>
    <w:rsid w:val="00B32E5D"/>
    <w:rsid w:val="00B50BF5"/>
    <w:rsid w:val="00B53CD1"/>
    <w:rsid w:val="00B563D6"/>
    <w:rsid w:val="00B60C6D"/>
    <w:rsid w:val="00B63D8D"/>
    <w:rsid w:val="00B64342"/>
    <w:rsid w:val="00B65E57"/>
    <w:rsid w:val="00B74336"/>
    <w:rsid w:val="00B776E8"/>
    <w:rsid w:val="00B9102D"/>
    <w:rsid w:val="00B945BD"/>
    <w:rsid w:val="00B95AB4"/>
    <w:rsid w:val="00B98539"/>
    <w:rsid w:val="00BA117F"/>
    <w:rsid w:val="00BA236C"/>
    <w:rsid w:val="00BA25FB"/>
    <w:rsid w:val="00BA5065"/>
    <w:rsid w:val="00BB2F1A"/>
    <w:rsid w:val="00BC0FB9"/>
    <w:rsid w:val="00BC611F"/>
    <w:rsid w:val="00BD2259"/>
    <w:rsid w:val="00BE0012"/>
    <w:rsid w:val="00BE22B4"/>
    <w:rsid w:val="00BF2E87"/>
    <w:rsid w:val="00C0641D"/>
    <w:rsid w:val="00C17956"/>
    <w:rsid w:val="00C442EF"/>
    <w:rsid w:val="00C5270D"/>
    <w:rsid w:val="00C57925"/>
    <w:rsid w:val="00C6065B"/>
    <w:rsid w:val="00C60674"/>
    <w:rsid w:val="00C60983"/>
    <w:rsid w:val="00C62891"/>
    <w:rsid w:val="00C84E2F"/>
    <w:rsid w:val="00C856A1"/>
    <w:rsid w:val="00C85778"/>
    <w:rsid w:val="00C91FF8"/>
    <w:rsid w:val="00C9237A"/>
    <w:rsid w:val="00C9579C"/>
    <w:rsid w:val="00C96524"/>
    <w:rsid w:val="00C973D9"/>
    <w:rsid w:val="00CB0701"/>
    <w:rsid w:val="00CB0D4E"/>
    <w:rsid w:val="00CB5BE2"/>
    <w:rsid w:val="00CB5F60"/>
    <w:rsid w:val="00CB6E74"/>
    <w:rsid w:val="00CD3E63"/>
    <w:rsid w:val="00CD4587"/>
    <w:rsid w:val="00CD76C5"/>
    <w:rsid w:val="00CD7E1D"/>
    <w:rsid w:val="00CE3387"/>
    <w:rsid w:val="00CE4057"/>
    <w:rsid w:val="00CE5BA1"/>
    <w:rsid w:val="00CF3764"/>
    <w:rsid w:val="00CF6231"/>
    <w:rsid w:val="00D01ADF"/>
    <w:rsid w:val="00D01D4C"/>
    <w:rsid w:val="00D04324"/>
    <w:rsid w:val="00D20B19"/>
    <w:rsid w:val="00D2211D"/>
    <w:rsid w:val="00D26152"/>
    <w:rsid w:val="00D31DD1"/>
    <w:rsid w:val="00D36304"/>
    <w:rsid w:val="00D42CF4"/>
    <w:rsid w:val="00D45FE1"/>
    <w:rsid w:val="00D5311E"/>
    <w:rsid w:val="00D64385"/>
    <w:rsid w:val="00D80D15"/>
    <w:rsid w:val="00D81DC9"/>
    <w:rsid w:val="00DA5C0E"/>
    <w:rsid w:val="00DB3620"/>
    <w:rsid w:val="00DD08C0"/>
    <w:rsid w:val="00DD24E8"/>
    <w:rsid w:val="00DD28FD"/>
    <w:rsid w:val="00DD48C6"/>
    <w:rsid w:val="00DD5B8E"/>
    <w:rsid w:val="00DE4554"/>
    <w:rsid w:val="00DE6CD2"/>
    <w:rsid w:val="00DE7CD7"/>
    <w:rsid w:val="00DF2779"/>
    <w:rsid w:val="00DF29A0"/>
    <w:rsid w:val="00DF3BF1"/>
    <w:rsid w:val="00E02A03"/>
    <w:rsid w:val="00E04393"/>
    <w:rsid w:val="00E043D6"/>
    <w:rsid w:val="00E04698"/>
    <w:rsid w:val="00E065EB"/>
    <w:rsid w:val="00E12E5A"/>
    <w:rsid w:val="00E160E7"/>
    <w:rsid w:val="00E17376"/>
    <w:rsid w:val="00E25EDD"/>
    <w:rsid w:val="00E3135B"/>
    <w:rsid w:val="00E40B17"/>
    <w:rsid w:val="00E428F4"/>
    <w:rsid w:val="00E50576"/>
    <w:rsid w:val="00E569AE"/>
    <w:rsid w:val="00E623FC"/>
    <w:rsid w:val="00E65D67"/>
    <w:rsid w:val="00E66B4E"/>
    <w:rsid w:val="00E70AAF"/>
    <w:rsid w:val="00E75307"/>
    <w:rsid w:val="00E77DBD"/>
    <w:rsid w:val="00E81C55"/>
    <w:rsid w:val="00EA2054"/>
    <w:rsid w:val="00EA5226"/>
    <w:rsid w:val="00EA5D6B"/>
    <w:rsid w:val="00EC4199"/>
    <w:rsid w:val="00ED385E"/>
    <w:rsid w:val="00EE589D"/>
    <w:rsid w:val="00EF0999"/>
    <w:rsid w:val="00EF6A49"/>
    <w:rsid w:val="00EF797F"/>
    <w:rsid w:val="00F21B5F"/>
    <w:rsid w:val="00F21FFC"/>
    <w:rsid w:val="00F239C8"/>
    <w:rsid w:val="00F25D4B"/>
    <w:rsid w:val="00F2669C"/>
    <w:rsid w:val="00F26F6E"/>
    <w:rsid w:val="00F50D2D"/>
    <w:rsid w:val="00F51F4B"/>
    <w:rsid w:val="00F52F5D"/>
    <w:rsid w:val="00F57A81"/>
    <w:rsid w:val="00F63684"/>
    <w:rsid w:val="00F6789A"/>
    <w:rsid w:val="00F71A64"/>
    <w:rsid w:val="00F71C6F"/>
    <w:rsid w:val="00F74C28"/>
    <w:rsid w:val="00F752FB"/>
    <w:rsid w:val="00F75DBF"/>
    <w:rsid w:val="00F84560"/>
    <w:rsid w:val="00F91DE8"/>
    <w:rsid w:val="00F926EA"/>
    <w:rsid w:val="00F96BFC"/>
    <w:rsid w:val="00FA35F3"/>
    <w:rsid w:val="00FB2125"/>
    <w:rsid w:val="00FC0BF8"/>
    <w:rsid w:val="00FD2F1A"/>
    <w:rsid w:val="00FD41C8"/>
    <w:rsid w:val="00FD4F7D"/>
    <w:rsid w:val="00FD7C94"/>
    <w:rsid w:val="00FF4EE2"/>
    <w:rsid w:val="0BB48889"/>
    <w:rsid w:val="0C25DB63"/>
    <w:rsid w:val="0D70CC3B"/>
    <w:rsid w:val="14DB8928"/>
    <w:rsid w:val="1CDCF4C7"/>
    <w:rsid w:val="2052FADE"/>
    <w:rsid w:val="2A693C4B"/>
    <w:rsid w:val="2F77F16A"/>
    <w:rsid w:val="371992E1"/>
    <w:rsid w:val="37211BC0"/>
    <w:rsid w:val="3870A09F"/>
    <w:rsid w:val="3D3BF0EB"/>
    <w:rsid w:val="3F260C05"/>
    <w:rsid w:val="40EC768A"/>
    <w:rsid w:val="43FE3D07"/>
    <w:rsid w:val="440E0DC6"/>
    <w:rsid w:val="4723EA9B"/>
    <w:rsid w:val="47D72D9C"/>
    <w:rsid w:val="4B87B33B"/>
    <w:rsid w:val="4CB53E6A"/>
    <w:rsid w:val="4E2369DA"/>
    <w:rsid w:val="4ED68321"/>
    <w:rsid w:val="53FCFEDC"/>
    <w:rsid w:val="542B0AAF"/>
    <w:rsid w:val="566FFF57"/>
    <w:rsid w:val="59693BCF"/>
    <w:rsid w:val="5A34A450"/>
    <w:rsid w:val="5A3C8057"/>
    <w:rsid w:val="5A7331C7"/>
    <w:rsid w:val="5C4BD8C0"/>
    <w:rsid w:val="5C514DC4"/>
    <w:rsid w:val="63C2E52D"/>
    <w:rsid w:val="67BB89E4"/>
    <w:rsid w:val="6884AC64"/>
    <w:rsid w:val="68D3C55B"/>
    <w:rsid w:val="7989D737"/>
    <w:rsid w:val="79A06FDE"/>
    <w:rsid w:val="7A484A7B"/>
    <w:rsid w:val="7BD8006C"/>
    <w:rsid w:val="7DB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F1E6E"/>
  <w15:chartTrackingRefBased/>
  <w15:docId w15:val="{A1F0340C-C4E1-4F64-B676-E0562EC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A48FC"/>
    <w:pPr>
      <w:ind w:left="720"/>
      <w:contextualSpacing/>
    </w:pPr>
  </w:style>
  <w:style w:type="paragraph" w:customStyle="1" w:styleId="paragraph">
    <w:name w:val="paragraph"/>
    <w:basedOn w:val="Normal"/>
    <w:rsid w:val="001068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68E6"/>
  </w:style>
  <w:style w:type="character" w:customStyle="1" w:styleId="eop">
    <w:name w:val="eop"/>
    <w:basedOn w:val="DefaultParagraphFont"/>
    <w:rsid w:val="001068E6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43A3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077E27"/>
    <w:pPr>
      <w:spacing w:after="200"/>
      <w:ind w:firstLine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7E27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">
    <w:name w:val="Style1"/>
    <w:basedOn w:val="DefaultParagraphFont"/>
    <w:uiPriority w:val="1"/>
    <w:rsid w:val="000E7CBB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35377D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2iqfc">
    <w:name w:val="y2iqfc"/>
    <w:basedOn w:val="DefaultParagraphFont"/>
    <w:rsid w:val="00F2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nach1\AppData\Local\Microsoft\Office\16.0\DTS\en-US%7b8BE72A64-A192-4B84-8D8B-F282BDE96F08%7d\%7bB626E98E-6FC4-4789-B3B0-34BB9428A17E%7dtf0278699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77500E1EE46EF91EE852B0B12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CA53D-9726-4B8A-9877-2F66703EF1F1}"/>
      </w:docPartPr>
      <w:docPartBody>
        <w:p w:rsidR="00AC1E41" w:rsidRDefault="00EE09FA" w:rsidP="002D3F13">
          <w:pPr>
            <w:pStyle w:val="C5777500E1EE46EF91EE852B0B123BF6"/>
          </w:pPr>
          <w:r w:rsidRPr="007A187D">
            <w:rPr>
              <w:rStyle w:val="PlaceholderText"/>
            </w:rPr>
            <w:t>Click here to enter text.</w:t>
          </w:r>
        </w:p>
      </w:docPartBody>
    </w:docPart>
    <w:docPart>
      <w:docPartPr>
        <w:name w:val="8C9F27AE1B0546E9BAFF5F7DACA2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535B-2824-4981-856E-5EC3979DCA81}"/>
      </w:docPartPr>
      <w:docPartBody>
        <w:p w:rsidR="00D01ADF" w:rsidRDefault="00EE09FA" w:rsidP="00014BD9">
          <w:pPr>
            <w:pStyle w:val="8C9F27AE1B0546E9BAFF5F7DACA2DA21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13"/>
    <w:rsid w:val="00014BD9"/>
    <w:rsid w:val="002C2699"/>
    <w:rsid w:val="002D3F13"/>
    <w:rsid w:val="00602C8A"/>
    <w:rsid w:val="009F6519"/>
    <w:rsid w:val="00AC1E41"/>
    <w:rsid w:val="00BD469A"/>
    <w:rsid w:val="00CF09BB"/>
    <w:rsid w:val="00D01ADF"/>
    <w:rsid w:val="00D5068A"/>
    <w:rsid w:val="00E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BD9"/>
  </w:style>
  <w:style w:type="paragraph" w:customStyle="1" w:styleId="C5777500E1EE46EF91EE852B0B123BF6">
    <w:name w:val="C5777500E1EE46EF91EE852B0B123BF6"/>
    <w:rsid w:val="002D3F13"/>
  </w:style>
  <w:style w:type="paragraph" w:customStyle="1" w:styleId="8C9F27AE1B0546E9BAFF5F7DACA2DA21">
    <w:name w:val="8C9F27AE1B0546E9BAFF5F7DACA2DA21"/>
    <w:rsid w:val="00014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3311a9-e410-4a2b-89dd-ca6f91b961e6">
      <UserInfo>
        <DisplayName/>
        <AccountId xsi:nil="true"/>
        <AccountType/>
      </UserInfo>
    </SharedWithUsers>
    <MediaLengthInSeconds xmlns="05e89052-4f16-4646-a7b6-43a6ec6b19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6D95C4AB3164FB3EBCFB9093F8CDA" ma:contentTypeVersion="13" ma:contentTypeDescription="Create a new document." ma:contentTypeScope="" ma:versionID="42da8f0596c124edcd39b41f044b012e">
  <xsd:schema xmlns:xsd="http://www.w3.org/2001/XMLSchema" xmlns:xs="http://www.w3.org/2001/XMLSchema" xmlns:p="http://schemas.microsoft.com/office/2006/metadata/properties" xmlns:ns3="2d3311a9-e410-4a2b-89dd-ca6f91b961e6" xmlns:ns4="05e89052-4f16-4646-a7b6-43a6ec6b19e7" targetNamespace="http://schemas.microsoft.com/office/2006/metadata/properties" ma:root="true" ma:fieldsID="8cb58175c28cbf393eb51d5789031611" ns3:_="" ns4:_="">
    <xsd:import namespace="2d3311a9-e410-4a2b-89dd-ca6f91b961e6"/>
    <xsd:import namespace="05e89052-4f16-4646-a7b6-43a6ec6b19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311a9-e410-4a2b-89dd-ca6f91b961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89052-4f16-4646-a7b6-43a6ec6b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2d3311a9-e410-4a2b-89dd-ca6f91b961e6"/>
    <ds:schemaRef ds:uri="05e89052-4f16-4646-a7b6-43a6ec6b19e7"/>
  </ds:schemaRefs>
</ds:datastoreItem>
</file>

<file path=customXml/itemProps2.xml><?xml version="1.0" encoding="utf-8"?>
<ds:datastoreItem xmlns:ds="http://schemas.openxmlformats.org/officeDocument/2006/customXml" ds:itemID="{0345F465-F724-415F-92FF-F62917B3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311a9-e410-4a2b-89dd-ca6f91b961e6"/>
    <ds:schemaRef ds:uri="05e89052-4f16-4646-a7b6-43a6ec6b1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DBEB8-5707-40A5-91F5-1FA6B1B5B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{B626E98E-6FC4-4789-B3B0-34BB9428A17E}tf02786999_win32</Template>
  <TotalTime>2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Menachof, Lisa</dc:creator>
  <cp:lastModifiedBy>Robak, James</cp:lastModifiedBy>
  <cp:revision>2</cp:revision>
  <dcterms:created xsi:type="dcterms:W3CDTF">2022-08-24T17:33:00Z</dcterms:created>
  <dcterms:modified xsi:type="dcterms:W3CDTF">2022-08-24T17:33:00Z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mplianceAssetId">
    <vt:lpwstr/>
  </property>
  <property fmtid="{D5CDD505-2E9C-101B-9397-08002B2CF9AE}" pid="4" name="ContentTypeId">
    <vt:lpwstr>0x0101001C96D95C4AB3164FB3EBCFB9093F8CDA</vt:lpwstr>
  </property>
  <property fmtid="{D5CDD505-2E9C-101B-9397-08002B2CF9AE}" pid="5" name="FeatureTags">
    <vt:lpwstr/>
  </property>
  <property fmtid="{D5CDD505-2E9C-101B-9397-08002B2CF9AE}" pid="6" name="InternalTags">
    <vt:lpwstr/>
  </property>
  <property fmtid="{D5CDD505-2E9C-101B-9397-08002B2CF9AE}" pid="7" name="LocalizationTags">
    <vt:lpwstr/>
  </property>
  <property fmtid="{D5CDD505-2E9C-101B-9397-08002B2CF9AE}" pid="8" name="Order">
    <vt:r8>1282700</vt:r8>
  </property>
  <property fmtid="{D5CDD505-2E9C-101B-9397-08002B2CF9AE}" pid="9" name="ScenarioTags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</Properties>
</file>